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E919EB" w:rsidR="001E6E93" w:rsidP="001E6E93" w:rsidRDefault="001E6E93" w14:paraId="0F81540D" w14:textId="602F5AFA">
      <w:pPr>
        <w:spacing w:before="100" w:beforeAutospacing="1" w:after="100" w:afterAutospacing="1" w:line="240" w:lineRule="auto"/>
        <w:rPr>
          <w:rFonts w:eastAsia="Times New Roman" w:asciiTheme="minorHAnsi" w:hAnsiTheme="minorHAnsi" w:cstheme="minorHAnsi"/>
          <w:szCs w:val="24"/>
          <w:lang w:val="en-GB" w:eastAsia="pl-PL"/>
        </w:rPr>
      </w:pPr>
      <w:r w:rsidRPr="795A8DE5" w:rsidR="001E6E93">
        <w:rPr>
          <w:rFonts w:ascii="Calibri" w:hAnsi="Calibri" w:eastAsia="Times New Roman" w:cs="Calibri" w:asciiTheme="minorAscii" w:hAnsiTheme="minorAscii" w:cstheme="minorAscii"/>
          <w:b w:val="1"/>
          <w:bCs w:val="1"/>
          <w:lang w:val="en-GB" w:eastAsia="pl-PL"/>
        </w:rPr>
        <w:t>Requirements for Preparing the Manuscript</w:t>
      </w:r>
    </w:p>
    <w:p w:rsidR="795A8DE5" w:rsidP="795A8DE5" w:rsidRDefault="795A8DE5" w14:paraId="0495B553" w14:textId="144E3B97">
      <w:pPr>
        <w:spacing w:beforeAutospacing="on" w:afterAutospacing="on" w:line="240" w:lineRule="auto"/>
        <w:rPr>
          <w:rFonts w:ascii="Calibri" w:hAnsi="Calibri" w:eastAsia="Times New Roman" w:cs="Calibri" w:asciiTheme="minorAscii" w:hAnsiTheme="minorAscii" w:cstheme="minorAscii"/>
          <w:b w:val="1"/>
          <w:bCs w:val="1"/>
          <w:lang w:val="en-GB" w:eastAsia="pl-PL"/>
        </w:rPr>
      </w:pPr>
    </w:p>
    <w:p w:rsidRPr="00E919EB" w:rsidR="00E919EB" w:rsidP="00E919EB" w:rsidRDefault="001E6E93" w14:paraId="3C1F9370" w14:textId="18C3C575">
      <w:pPr>
        <w:pStyle w:val="Akapitzlist"/>
        <w:numPr>
          <w:ilvl w:val="0"/>
          <w:numId w:val="3"/>
        </w:numPr>
        <w:spacing w:before="100" w:beforeAutospacing="1" w:after="240" w:line="240" w:lineRule="auto"/>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The length of an empirical, theoretical, or review article should not exceed one publishing sheet (40,000 characters including spaces), including footnotes, references, tables, figures, and appendices. The editorial board may make exceptions to this rule, e.g., in the case of articles covering a series of studies. Reports, reviews, commentaries, and polemics should not exceed 10,000 characters including spaces.</w:t>
      </w:r>
    </w:p>
    <w:p w:rsidRPr="00E919EB" w:rsidR="00E919EB" w:rsidP="00E919EB" w:rsidRDefault="00E919EB" w14:paraId="297ACDBB" w14:textId="77777777">
      <w:pPr>
        <w:pStyle w:val="Akapitzlist"/>
        <w:spacing w:before="100" w:beforeAutospacing="1" w:after="240" w:line="240" w:lineRule="auto"/>
        <w:ind w:left="360"/>
        <w:jc w:val="both"/>
        <w:rPr>
          <w:rFonts w:eastAsia="Times New Roman" w:asciiTheme="minorHAnsi" w:hAnsiTheme="minorHAnsi" w:cstheme="minorHAnsi"/>
          <w:szCs w:val="24"/>
          <w:lang w:val="en-GB" w:eastAsia="pl-PL"/>
        </w:rPr>
      </w:pPr>
    </w:p>
    <w:p w:rsidRPr="00E919EB" w:rsidR="00E919EB" w:rsidP="004E4D45" w:rsidRDefault="001E6E93" w14:paraId="0DF20558" w14:textId="6733498F">
      <w:pPr>
        <w:pStyle w:val="Akapitzlist"/>
        <w:numPr>
          <w:ilvl w:val="0"/>
          <w:numId w:val="3"/>
        </w:numPr>
        <w:spacing w:before="100" w:beforeAutospacing="1" w:after="100" w:afterAutospacing="1" w:line="240" w:lineRule="auto"/>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Texts should be prepared in MS Word, using 12-point font with double line spacing. Pages should be numbered and include a header containing the title or a key part of it.</w:t>
      </w:r>
    </w:p>
    <w:p w:rsidRPr="00E919EB" w:rsidR="00E919EB" w:rsidP="00E919EB" w:rsidRDefault="00E919EB" w14:paraId="3599EFDB" w14:textId="77777777">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p>
    <w:p w:rsidRPr="00E919EB" w:rsidR="00E919EB" w:rsidP="002C5095" w:rsidRDefault="001E6E93" w14:paraId="48FA6B7C" w14:textId="49FA58D3">
      <w:pPr>
        <w:pStyle w:val="Akapitzlist"/>
        <w:numPr>
          <w:ilvl w:val="0"/>
          <w:numId w:val="3"/>
        </w:numPr>
        <w:spacing w:before="100" w:beforeAutospacing="1" w:after="100" w:afterAutospacing="1" w:line="240" w:lineRule="auto"/>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An abstract/abstracts of the article must be included in a separate file. For articles in Polish, abstracts should be provided in both Polish and English (max. 300 words each), along with keywords in both Polish and English (max. 5 keywords). For articles in English, an abstract in</w:t>
      </w:r>
      <w:r w:rsidRPr="00E919EB" w:rsidR="00E919EB">
        <w:rPr>
          <w:rFonts w:eastAsia="Times New Roman" w:asciiTheme="minorHAnsi" w:hAnsiTheme="minorHAnsi" w:cstheme="minorHAnsi"/>
          <w:szCs w:val="24"/>
          <w:lang w:val="en-GB" w:eastAsia="pl-PL"/>
        </w:rPr>
        <w:t> </w:t>
      </w:r>
      <w:r w:rsidRPr="00E919EB">
        <w:rPr>
          <w:rFonts w:eastAsia="Times New Roman" w:asciiTheme="minorHAnsi" w:hAnsiTheme="minorHAnsi" w:cstheme="minorHAnsi"/>
          <w:szCs w:val="24"/>
          <w:lang w:val="en-GB" w:eastAsia="pl-PL"/>
        </w:rPr>
        <w:t>English (max. 300 words) and keywords in English (max. 5 keywords) are required. Abstracts of empirical articles should include essential information regarding the presented study, indicating the aim, sample, research tools, main results, and conclusions. This structure is not required for theoretical, review, or polemical articles.</w:t>
      </w:r>
    </w:p>
    <w:p w:rsidRPr="00E919EB" w:rsidR="00E919EB" w:rsidP="00E919EB" w:rsidRDefault="00E919EB" w14:paraId="242E7C42" w14:textId="77777777">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p>
    <w:p w:rsidRPr="00E919EB" w:rsidR="00E919EB" w:rsidP="009E08E4" w:rsidRDefault="001E6E93" w14:paraId="262E5C9D" w14:textId="77777777">
      <w:pPr>
        <w:pStyle w:val="Akapitzlist"/>
        <w:numPr>
          <w:ilvl w:val="0"/>
          <w:numId w:val="3"/>
        </w:numPr>
        <w:spacing w:before="100" w:beforeAutospacing="1" w:after="100" w:afterAutospacing="1" w:line="240" w:lineRule="auto"/>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 xml:space="preserve">The structure of the article should be organized using headings and subheadings. </w:t>
      </w:r>
      <w:r w:rsidRPr="00E919EB" w:rsidR="00E919EB">
        <w:rPr>
          <w:rFonts w:eastAsia="Times New Roman" w:asciiTheme="minorHAnsi" w:hAnsiTheme="minorHAnsi" w:cstheme="minorHAnsi"/>
          <w:b/>
          <w:szCs w:val="24"/>
          <w:lang w:val="en-GB" w:eastAsia="pl-PL"/>
        </w:rPr>
        <w:t>The structure of the different types of articles is contained in the templates available for download</w:t>
      </w:r>
      <w:r w:rsidRPr="00E919EB" w:rsidR="00E919EB">
        <w:rPr>
          <w:rFonts w:eastAsia="Times New Roman" w:asciiTheme="minorHAnsi" w:hAnsiTheme="minorHAnsi" w:cstheme="minorHAnsi"/>
          <w:szCs w:val="24"/>
          <w:lang w:val="en-GB" w:eastAsia="pl-PL"/>
        </w:rPr>
        <w:t xml:space="preserve"> </w:t>
      </w:r>
      <w:r w:rsidRPr="00E919EB" w:rsidR="00E919EB">
        <w:rPr>
          <w:rFonts w:eastAsia="Times New Roman" w:asciiTheme="minorHAnsi" w:hAnsiTheme="minorHAnsi" w:cstheme="minorHAnsi"/>
          <w:b/>
          <w:szCs w:val="24"/>
          <w:lang w:val="en-GB" w:eastAsia="pl-PL"/>
        </w:rPr>
        <w:t>on the page of the Polish Psychological Forum</w:t>
      </w:r>
      <w:r w:rsidRPr="00E919EB" w:rsidR="00E919EB">
        <w:rPr>
          <w:rFonts w:eastAsia="Times New Roman" w:asciiTheme="minorHAnsi" w:hAnsiTheme="minorHAnsi" w:cstheme="minorHAnsi"/>
          <w:szCs w:val="24"/>
          <w:lang w:val="en-GB" w:eastAsia="pl-PL"/>
        </w:rPr>
        <w:t xml:space="preserve"> in the “Guidelines for authors” section. Please use these templates, i.e., submit manuscripts written in the appropriate templates.</w:t>
      </w:r>
    </w:p>
    <w:p w:rsidRPr="00E919EB" w:rsidR="00E919EB" w:rsidP="00E919EB" w:rsidRDefault="00E919EB" w14:paraId="2FC49E7B" w14:textId="2500AE60">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 xml:space="preserve"> </w:t>
      </w:r>
    </w:p>
    <w:p w:rsidR="00E919EB" w:rsidP="00243BBA" w:rsidRDefault="001E6E93" w14:paraId="5C2E7647" w14:textId="77777777">
      <w:pPr>
        <w:pStyle w:val="Akapitzlist"/>
        <w:numPr>
          <w:ilvl w:val="0"/>
          <w:numId w:val="3"/>
        </w:numPr>
        <w:spacing w:before="100" w:beforeAutospacing="1" w:after="100" w:afterAutospacing="1" w:line="240" w:lineRule="auto"/>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b/>
          <w:szCs w:val="24"/>
          <w:lang w:val="en-GB" w:eastAsia="pl-PL"/>
        </w:rPr>
        <w:t>Tables and figures</w:t>
      </w:r>
      <w:r w:rsidRPr="00E919EB">
        <w:rPr>
          <w:rFonts w:eastAsia="Times New Roman" w:asciiTheme="minorHAnsi" w:hAnsiTheme="minorHAnsi" w:cstheme="minorHAnsi"/>
          <w:szCs w:val="24"/>
          <w:lang w:val="en-GB" w:eastAsia="pl-PL"/>
        </w:rPr>
        <w:t xml:space="preserve">, formatted according to </w:t>
      </w:r>
      <w:r w:rsidRPr="00E919EB">
        <w:rPr>
          <w:rFonts w:eastAsia="Times New Roman" w:asciiTheme="minorHAnsi" w:hAnsiTheme="minorHAnsi" w:cstheme="minorHAnsi"/>
          <w:b/>
          <w:bCs/>
          <w:szCs w:val="24"/>
          <w:lang w:val="en-GB" w:eastAsia="pl-PL"/>
        </w:rPr>
        <w:t>APA 7th</w:t>
      </w:r>
      <w:r w:rsidRPr="00E919EB">
        <w:rPr>
          <w:rFonts w:eastAsia="Times New Roman" w:asciiTheme="minorHAnsi" w:hAnsiTheme="minorHAnsi" w:cstheme="minorHAnsi"/>
          <w:szCs w:val="24"/>
          <w:lang w:val="en-GB" w:eastAsia="pl-PL"/>
        </w:rPr>
        <w:t xml:space="preserve"> edition standards, should be included in</w:t>
      </w:r>
      <w:r w:rsidRPr="00E919EB" w:rsidR="00E919EB">
        <w:rPr>
          <w:rFonts w:eastAsia="Times New Roman" w:asciiTheme="minorHAnsi" w:hAnsiTheme="minorHAnsi" w:cstheme="minorHAnsi"/>
          <w:szCs w:val="24"/>
          <w:lang w:val="en-GB" w:eastAsia="pl-PL"/>
        </w:rPr>
        <w:t> </w:t>
      </w:r>
      <w:r w:rsidRPr="00E919EB">
        <w:rPr>
          <w:rFonts w:eastAsia="Times New Roman" w:asciiTheme="minorHAnsi" w:hAnsiTheme="minorHAnsi" w:cstheme="minorHAnsi"/>
          <w:szCs w:val="24"/>
          <w:lang w:val="en-GB" w:eastAsia="pl-PL"/>
        </w:rPr>
        <w:t>the appropriate place within the text (not as separate attachments).</w:t>
      </w:r>
    </w:p>
    <w:p w:rsidR="00E919EB" w:rsidP="00E919EB" w:rsidRDefault="00E919EB" w14:paraId="2B01776A" w14:textId="77777777">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p>
    <w:p w:rsidR="00E919EB" w:rsidP="00243BBA" w:rsidRDefault="001E6E93" w14:paraId="021B5B54" w14:textId="77777777">
      <w:pPr>
        <w:pStyle w:val="Akapitzlist"/>
        <w:numPr>
          <w:ilvl w:val="0"/>
          <w:numId w:val="3"/>
        </w:numPr>
        <w:spacing w:before="100" w:beforeAutospacing="1" w:after="100" w:afterAutospacing="1" w:line="240" w:lineRule="auto"/>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 xml:space="preserve">When presenting the results of </w:t>
      </w:r>
      <w:r w:rsidRPr="00E919EB">
        <w:rPr>
          <w:rFonts w:eastAsia="Times New Roman" w:asciiTheme="minorHAnsi" w:hAnsiTheme="minorHAnsi" w:cstheme="minorHAnsi"/>
          <w:b/>
          <w:szCs w:val="24"/>
          <w:lang w:val="en-GB" w:eastAsia="pl-PL"/>
        </w:rPr>
        <w:t>statistical analyses</w:t>
      </w:r>
      <w:r w:rsidRPr="00E919EB">
        <w:rPr>
          <w:rFonts w:eastAsia="Times New Roman" w:asciiTheme="minorHAnsi" w:hAnsiTheme="minorHAnsi" w:cstheme="minorHAnsi"/>
          <w:szCs w:val="24"/>
          <w:lang w:val="en-GB" w:eastAsia="pl-PL"/>
        </w:rPr>
        <w:t>, the names of the statistical tests used and the significance level should be provided, along with all necessary parameters (depending on the technique applied).</w:t>
      </w:r>
      <w:r w:rsidR="00E919EB">
        <w:rPr>
          <w:rFonts w:eastAsia="Times New Roman" w:asciiTheme="minorHAnsi" w:hAnsiTheme="minorHAnsi" w:cstheme="minorHAnsi"/>
          <w:szCs w:val="24"/>
          <w:lang w:val="en-GB" w:eastAsia="pl-PL"/>
        </w:rPr>
        <w:t xml:space="preserve"> </w:t>
      </w:r>
    </w:p>
    <w:p w:rsidR="00E919EB" w:rsidP="00E919EB" w:rsidRDefault="001E6E93" w14:paraId="2A4C483A" w14:textId="77777777">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 xml:space="preserve">Exact </w:t>
      </w:r>
      <w:r w:rsidRPr="00E919EB">
        <w:rPr>
          <w:rFonts w:eastAsia="Times New Roman" w:asciiTheme="minorHAnsi" w:hAnsiTheme="minorHAnsi" w:cstheme="minorHAnsi"/>
          <w:b/>
          <w:bCs/>
          <w:szCs w:val="24"/>
          <w:lang w:val="en-GB" w:eastAsia="pl-PL"/>
        </w:rPr>
        <w:t>p-values</w:t>
      </w:r>
      <w:r w:rsidRPr="00E919EB">
        <w:rPr>
          <w:rFonts w:eastAsia="Times New Roman" w:asciiTheme="minorHAnsi" w:hAnsiTheme="minorHAnsi" w:cstheme="minorHAnsi"/>
          <w:szCs w:val="24"/>
          <w:lang w:val="en-GB" w:eastAsia="pl-PL"/>
        </w:rPr>
        <w:t xml:space="preserve"> should be reported to three decimal places; for values less than 0.001, use </w:t>
      </w:r>
      <w:r w:rsidRPr="00E919EB">
        <w:rPr>
          <w:rFonts w:eastAsia="Times New Roman" w:asciiTheme="minorHAnsi" w:hAnsiTheme="minorHAnsi" w:cstheme="minorHAnsi"/>
          <w:i/>
          <w:iCs/>
          <w:szCs w:val="24"/>
          <w:lang w:val="en-GB" w:eastAsia="pl-PL"/>
        </w:rPr>
        <w:t>p &lt; .001</w:t>
      </w:r>
      <w:r w:rsidRPr="00E919EB">
        <w:rPr>
          <w:rFonts w:eastAsia="Times New Roman" w:asciiTheme="minorHAnsi" w:hAnsiTheme="minorHAnsi" w:cstheme="minorHAnsi"/>
          <w:szCs w:val="24"/>
          <w:lang w:val="en-GB" w:eastAsia="pl-PL"/>
        </w:rPr>
        <w:t>.</w:t>
      </w:r>
    </w:p>
    <w:p w:rsidR="00E919EB" w:rsidP="00E919EB" w:rsidRDefault="001E6E93" w14:paraId="100FFCEE" w14:textId="77777777">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(Additional note: In English-language texts (a) use periods, not commas, as decimal separators; (b) use a leading zero before the decimal point only if the number could exceed 1. In Polish: (a) commas are used instead of periods in decimals, (b) a leading zero is used even when the number cannot exceed 1.)</w:t>
      </w:r>
    </w:p>
    <w:p w:rsidR="00E919EB" w:rsidP="00E919EB" w:rsidRDefault="001E6E93" w14:paraId="1D0027E8" w14:textId="77777777">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 xml:space="preserve">Correlations, proportions, and inferential test statistics such as </w:t>
      </w:r>
      <w:r w:rsidRPr="00E919EB">
        <w:rPr>
          <w:rFonts w:eastAsia="Times New Roman" w:asciiTheme="minorHAnsi" w:hAnsiTheme="minorHAnsi" w:cstheme="minorHAnsi"/>
          <w:i/>
          <w:iCs/>
          <w:szCs w:val="24"/>
          <w:lang w:val="en-GB" w:eastAsia="pl-PL"/>
        </w:rPr>
        <w:t>t</w:t>
      </w:r>
      <w:r w:rsidRPr="00E919EB">
        <w:rPr>
          <w:rFonts w:eastAsia="Times New Roman" w:asciiTheme="minorHAnsi" w:hAnsiTheme="minorHAnsi" w:cstheme="minorHAnsi"/>
          <w:szCs w:val="24"/>
          <w:lang w:val="en-GB" w:eastAsia="pl-PL"/>
        </w:rPr>
        <w:t xml:space="preserve">, </w:t>
      </w:r>
      <w:r w:rsidRPr="00E919EB">
        <w:rPr>
          <w:rFonts w:eastAsia="Times New Roman" w:asciiTheme="minorHAnsi" w:hAnsiTheme="minorHAnsi" w:cstheme="minorHAnsi"/>
          <w:i/>
          <w:iCs/>
          <w:szCs w:val="24"/>
          <w:lang w:val="en-GB" w:eastAsia="pl-PL"/>
        </w:rPr>
        <w:t>F</w:t>
      </w:r>
      <w:r w:rsidRPr="00E919EB">
        <w:rPr>
          <w:rFonts w:eastAsia="Times New Roman" w:asciiTheme="minorHAnsi" w:hAnsiTheme="minorHAnsi" w:cstheme="minorHAnsi"/>
          <w:szCs w:val="24"/>
          <w:lang w:val="en-GB" w:eastAsia="pl-PL"/>
        </w:rPr>
        <w:t xml:space="preserve">, and </w:t>
      </w:r>
      <w:r w:rsidRPr="00E919EB">
        <w:rPr>
          <w:rFonts w:eastAsia="Times New Roman" w:asciiTheme="minorHAnsi" w:hAnsiTheme="minorHAnsi" w:cstheme="minorHAnsi"/>
          <w:i/>
          <w:iCs/>
          <w:szCs w:val="24"/>
          <w:lang w:eastAsia="pl-PL"/>
        </w:rPr>
        <w:t>χ</w:t>
      </w:r>
      <w:r w:rsidRPr="00E919EB">
        <w:rPr>
          <w:rFonts w:eastAsia="Times New Roman" w:asciiTheme="minorHAnsi" w:hAnsiTheme="minorHAnsi" w:cstheme="minorHAnsi"/>
          <w:i/>
          <w:iCs/>
          <w:szCs w:val="24"/>
          <w:lang w:val="en-GB" w:eastAsia="pl-PL"/>
        </w:rPr>
        <w:t>²</w:t>
      </w:r>
      <w:r w:rsidRPr="00E919EB">
        <w:rPr>
          <w:rFonts w:eastAsia="Times New Roman" w:asciiTheme="minorHAnsi" w:hAnsiTheme="minorHAnsi" w:cstheme="minorHAnsi"/>
          <w:szCs w:val="24"/>
          <w:lang w:val="en-GB" w:eastAsia="pl-PL"/>
        </w:rPr>
        <w:t xml:space="preserve"> should be rounded to two decimal places. Group means and standard deviations from total scales (with a fixed range, e.g., 1–5, as in most questionnaires) should be rounded to </w:t>
      </w:r>
      <w:r w:rsidRPr="00E919EB">
        <w:rPr>
          <w:rFonts w:eastAsia="Times New Roman" w:asciiTheme="minorHAnsi" w:hAnsiTheme="minorHAnsi" w:cstheme="minorHAnsi"/>
          <w:b/>
          <w:bCs/>
          <w:szCs w:val="24"/>
          <w:lang w:val="en-GB" w:eastAsia="pl-PL"/>
        </w:rPr>
        <w:t>one decimal place</w:t>
      </w:r>
      <w:r w:rsidRPr="00E919EB">
        <w:rPr>
          <w:rFonts w:eastAsia="Times New Roman" w:asciiTheme="minorHAnsi" w:hAnsiTheme="minorHAnsi" w:cstheme="minorHAnsi"/>
          <w:szCs w:val="24"/>
          <w:lang w:val="en-GB" w:eastAsia="pl-PL"/>
        </w:rPr>
        <w:t xml:space="preserve">. Other means and standard deviations (e.g., reaction times in </w:t>
      </w:r>
      <w:proofErr w:type="spellStart"/>
      <w:r w:rsidRPr="00E919EB">
        <w:rPr>
          <w:rFonts w:eastAsia="Times New Roman" w:asciiTheme="minorHAnsi" w:hAnsiTheme="minorHAnsi" w:cstheme="minorHAnsi"/>
          <w:szCs w:val="24"/>
          <w:lang w:val="en-GB" w:eastAsia="pl-PL"/>
        </w:rPr>
        <w:t>ms</w:t>
      </w:r>
      <w:proofErr w:type="spellEnd"/>
      <w:r w:rsidRPr="00E919EB">
        <w:rPr>
          <w:rFonts w:eastAsia="Times New Roman" w:asciiTheme="minorHAnsi" w:hAnsiTheme="minorHAnsi" w:cstheme="minorHAnsi"/>
          <w:szCs w:val="24"/>
          <w:lang w:val="en-GB" w:eastAsia="pl-PL"/>
        </w:rPr>
        <w:t xml:space="preserve">, physiological measurements) should be reported to </w:t>
      </w:r>
      <w:r w:rsidRPr="00E919EB">
        <w:rPr>
          <w:rFonts w:eastAsia="Times New Roman" w:asciiTheme="minorHAnsi" w:hAnsiTheme="minorHAnsi" w:cstheme="minorHAnsi"/>
          <w:b/>
          <w:bCs/>
          <w:szCs w:val="24"/>
          <w:lang w:val="en-GB" w:eastAsia="pl-PL"/>
        </w:rPr>
        <w:t>two decimal places</w:t>
      </w:r>
      <w:r w:rsidRPr="00E919EB">
        <w:rPr>
          <w:rFonts w:eastAsia="Times New Roman" w:asciiTheme="minorHAnsi" w:hAnsiTheme="minorHAnsi" w:cstheme="minorHAnsi"/>
          <w:szCs w:val="24"/>
          <w:lang w:val="en-GB" w:eastAsia="pl-PL"/>
        </w:rPr>
        <w:t xml:space="preserve">. Population parameters should be denoted using </w:t>
      </w:r>
      <w:r w:rsidRPr="00E919EB">
        <w:rPr>
          <w:rFonts w:eastAsia="Times New Roman" w:asciiTheme="minorHAnsi" w:hAnsiTheme="minorHAnsi" w:cstheme="minorHAnsi"/>
          <w:b/>
          <w:bCs/>
          <w:szCs w:val="24"/>
          <w:lang w:val="en-GB" w:eastAsia="pl-PL"/>
        </w:rPr>
        <w:t>Greek letters</w:t>
      </w:r>
      <w:r w:rsidRPr="00E919EB">
        <w:rPr>
          <w:rFonts w:eastAsia="Times New Roman" w:asciiTheme="minorHAnsi" w:hAnsiTheme="minorHAnsi" w:cstheme="minorHAnsi"/>
          <w:szCs w:val="24"/>
          <w:lang w:val="en-GB" w:eastAsia="pl-PL"/>
        </w:rPr>
        <w:t xml:space="preserve">, and estimators using </w:t>
      </w:r>
      <w:r w:rsidRPr="00E919EB">
        <w:rPr>
          <w:rFonts w:eastAsia="Times New Roman" w:asciiTheme="minorHAnsi" w:hAnsiTheme="minorHAnsi" w:cstheme="minorHAnsi"/>
          <w:b/>
          <w:bCs/>
          <w:szCs w:val="24"/>
          <w:lang w:val="en-GB" w:eastAsia="pl-PL"/>
        </w:rPr>
        <w:t>Latin letters in italics</w:t>
      </w:r>
      <w:r w:rsidRPr="00E919EB">
        <w:rPr>
          <w:rFonts w:eastAsia="Times New Roman" w:asciiTheme="minorHAnsi" w:hAnsiTheme="minorHAnsi" w:cstheme="minorHAnsi"/>
          <w:szCs w:val="24"/>
          <w:lang w:val="en-GB" w:eastAsia="pl-PL"/>
        </w:rPr>
        <w:t>.</w:t>
      </w:r>
    </w:p>
    <w:p w:rsidR="00E919EB" w:rsidP="00E919EB" w:rsidRDefault="00E919EB" w14:paraId="01B10184" w14:textId="77777777">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p>
    <w:p w:rsidRPr="00E919EB" w:rsidR="00E919EB" w:rsidP="00347302" w:rsidRDefault="001E6E93" w14:paraId="62B74308" w14:textId="77777777">
      <w:pPr>
        <w:pStyle w:val="Akapitzlist"/>
        <w:numPr>
          <w:ilvl w:val="0"/>
          <w:numId w:val="3"/>
        </w:numPr>
        <w:spacing w:before="100" w:beforeAutospacing="1" w:after="100" w:afterAutospacing="1" w:line="240" w:lineRule="auto"/>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 xml:space="preserve">Use formatting standards commonly accepted in the psychological literature as defined by the current edition of the </w:t>
      </w:r>
      <w:r w:rsidRPr="00E919EB">
        <w:rPr>
          <w:rFonts w:eastAsia="Times New Roman" w:asciiTheme="minorHAnsi" w:hAnsiTheme="minorHAnsi" w:cstheme="minorHAnsi"/>
          <w:b/>
          <w:bCs/>
          <w:szCs w:val="24"/>
          <w:lang w:val="en-GB" w:eastAsia="pl-PL"/>
        </w:rPr>
        <w:t>American Psychological Association (APA) Manual</w:t>
      </w:r>
      <w:r w:rsidRPr="00E919EB">
        <w:rPr>
          <w:rFonts w:eastAsia="Times New Roman" w:asciiTheme="minorHAnsi" w:hAnsiTheme="minorHAnsi" w:cstheme="minorHAnsi"/>
          <w:szCs w:val="24"/>
          <w:lang w:val="en-GB" w:eastAsia="pl-PL"/>
        </w:rPr>
        <w:t xml:space="preserve">. From 2025, manuscripts must comply with </w:t>
      </w:r>
      <w:r w:rsidRPr="00E919EB">
        <w:rPr>
          <w:rFonts w:eastAsia="Times New Roman" w:asciiTheme="minorHAnsi" w:hAnsiTheme="minorHAnsi" w:cstheme="minorHAnsi"/>
          <w:b/>
          <w:bCs/>
          <w:szCs w:val="24"/>
          <w:lang w:val="en-GB" w:eastAsia="pl-PL"/>
        </w:rPr>
        <w:t>APA 7th edition</w:t>
      </w:r>
      <w:r w:rsidRPr="00E919EB">
        <w:rPr>
          <w:rFonts w:eastAsia="Times New Roman" w:asciiTheme="minorHAnsi" w:hAnsiTheme="minorHAnsi" w:cstheme="minorHAnsi"/>
          <w:szCs w:val="24"/>
          <w:lang w:val="en-GB" w:eastAsia="pl-PL"/>
        </w:rPr>
        <w:t xml:space="preserve">. These standards are used in </w:t>
      </w:r>
      <w:r w:rsidRPr="00E919EB">
        <w:rPr>
          <w:rFonts w:eastAsia="Times New Roman" w:asciiTheme="minorHAnsi" w:hAnsiTheme="minorHAnsi" w:cstheme="minorHAnsi"/>
          <w:szCs w:val="24"/>
          <w:lang w:val="en-GB" w:eastAsia="pl-PL"/>
        </w:rPr>
        <w:lastRenderedPageBreak/>
        <w:t xml:space="preserve">prestigious psychological journals and textbooks. We recommend using the freely available guide at the website https://apastyle.apa.org/ or using a </w:t>
      </w:r>
      <w:r w:rsidRPr="00E919EB">
        <w:rPr>
          <w:rFonts w:eastAsia="Times New Roman" w:asciiTheme="minorHAnsi" w:hAnsiTheme="minorHAnsi" w:cstheme="minorHAnsi"/>
          <w:b/>
          <w:bCs/>
          <w:szCs w:val="24"/>
          <w:lang w:val="en-GB" w:eastAsia="pl-PL"/>
        </w:rPr>
        <w:t>reference generator</w:t>
      </w:r>
      <w:r w:rsidRPr="00E919EB">
        <w:rPr>
          <w:rFonts w:eastAsia="Times New Roman" w:asciiTheme="minorHAnsi" w:hAnsiTheme="minorHAnsi" w:cstheme="minorHAnsi"/>
          <w:szCs w:val="24"/>
          <w:lang w:val="en-GB" w:eastAsia="pl-PL"/>
        </w:rPr>
        <w:t>.</w:t>
      </w:r>
    </w:p>
    <w:p w:rsidR="00E919EB" w:rsidP="00E919EB" w:rsidRDefault="001E6E93" w14:paraId="54575AAA" w14:textId="77777777">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 xml:space="preserve">In-text citations should include the </w:t>
      </w:r>
      <w:r w:rsidRPr="00E919EB">
        <w:rPr>
          <w:rFonts w:eastAsia="Times New Roman" w:asciiTheme="minorHAnsi" w:hAnsiTheme="minorHAnsi" w:cstheme="minorHAnsi"/>
          <w:b/>
          <w:bCs/>
          <w:szCs w:val="24"/>
          <w:lang w:val="en-GB" w:eastAsia="pl-PL"/>
        </w:rPr>
        <w:t>author(s)’ surname(s), year of publication</w:t>
      </w:r>
      <w:r w:rsidRPr="00E919EB">
        <w:rPr>
          <w:rFonts w:eastAsia="Times New Roman" w:asciiTheme="minorHAnsi" w:hAnsiTheme="minorHAnsi" w:cstheme="minorHAnsi"/>
          <w:szCs w:val="24"/>
          <w:lang w:val="en-GB" w:eastAsia="pl-PL"/>
        </w:rPr>
        <w:t xml:space="preserve">, and </w:t>
      </w:r>
      <w:r w:rsidRPr="00E919EB">
        <w:rPr>
          <w:rFonts w:eastAsia="Times New Roman" w:asciiTheme="minorHAnsi" w:hAnsiTheme="minorHAnsi" w:cstheme="minorHAnsi"/>
          <w:b/>
          <w:bCs/>
          <w:szCs w:val="24"/>
          <w:lang w:val="en-GB" w:eastAsia="pl-PL"/>
        </w:rPr>
        <w:t>page number(s)</w:t>
      </w:r>
      <w:r w:rsidRPr="00E919EB">
        <w:rPr>
          <w:rFonts w:eastAsia="Times New Roman" w:asciiTheme="minorHAnsi" w:hAnsiTheme="minorHAnsi" w:cstheme="minorHAnsi"/>
          <w:szCs w:val="24"/>
          <w:lang w:val="en-GB" w:eastAsia="pl-PL"/>
        </w:rPr>
        <w:t xml:space="preserve"> in the case of direct quotations, e.g., (Smith, Jankowski, 2006, p. 16). </w:t>
      </w:r>
    </w:p>
    <w:p w:rsidRPr="00E919EB" w:rsidR="001E6E93" w:rsidP="00E919EB" w:rsidRDefault="001E6E93" w14:paraId="629393D4" w14:textId="56B1E126">
      <w:pPr>
        <w:pStyle w:val="Akapitzlist"/>
        <w:spacing w:before="100" w:beforeAutospacing="1" w:after="100" w:afterAutospacing="1" w:line="240" w:lineRule="auto"/>
        <w:ind w:left="360"/>
        <w:jc w:val="both"/>
        <w:rPr>
          <w:rFonts w:eastAsia="Times New Roman" w:asciiTheme="minorHAnsi" w:hAnsiTheme="minorHAnsi" w:cstheme="minorHAnsi"/>
          <w:szCs w:val="24"/>
          <w:lang w:eastAsia="pl-PL"/>
        </w:rPr>
      </w:pPr>
      <w:r w:rsidRPr="00E919EB">
        <w:rPr>
          <w:rFonts w:eastAsia="Times New Roman" w:asciiTheme="minorHAnsi" w:hAnsiTheme="minorHAnsi" w:cstheme="minorHAnsi"/>
          <w:szCs w:val="24"/>
          <w:lang w:val="en-GB" w:eastAsia="pl-PL"/>
        </w:rPr>
        <w:t xml:space="preserve">References should be listed in </w:t>
      </w:r>
      <w:r w:rsidRPr="00E919EB">
        <w:rPr>
          <w:rFonts w:eastAsia="Times New Roman" w:asciiTheme="minorHAnsi" w:hAnsiTheme="minorHAnsi" w:cstheme="minorHAnsi"/>
          <w:b/>
          <w:bCs/>
          <w:szCs w:val="24"/>
          <w:lang w:val="en-GB" w:eastAsia="pl-PL"/>
        </w:rPr>
        <w:t>alphabetical order</w:t>
      </w:r>
      <w:r w:rsidRPr="00E919EB">
        <w:rPr>
          <w:rFonts w:eastAsia="Times New Roman" w:asciiTheme="minorHAnsi" w:hAnsiTheme="minorHAnsi" w:cstheme="minorHAnsi"/>
          <w:szCs w:val="24"/>
          <w:lang w:val="en-GB" w:eastAsia="pl-PL"/>
        </w:rPr>
        <w:t xml:space="preserve">. For publications with three or more authors, use the abbreviated form: (Stevenson et al., 2009). The reference list at the end of the text should follow a consistent format and include all cited sources. </w:t>
      </w:r>
      <w:proofErr w:type="spellStart"/>
      <w:r w:rsidRPr="00E919EB">
        <w:rPr>
          <w:rFonts w:eastAsia="Times New Roman" w:asciiTheme="minorHAnsi" w:hAnsiTheme="minorHAnsi" w:cstheme="minorHAnsi"/>
          <w:szCs w:val="24"/>
          <w:lang w:eastAsia="pl-PL"/>
        </w:rPr>
        <w:t>Examples</w:t>
      </w:r>
      <w:proofErr w:type="spellEnd"/>
      <w:r w:rsidRPr="00E919EB">
        <w:rPr>
          <w:rFonts w:eastAsia="Times New Roman" w:asciiTheme="minorHAnsi" w:hAnsiTheme="minorHAnsi" w:cstheme="minorHAnsi"/>
          <w:szCs w:val="24"/>
          <w:lang w:eastAsia="pl-PL"/>
        </w:rPr>
        <w:t>:</w:t>
      </w:r>
    </w:p>
    <w:p w:rsidRPr="00E919EB" w:rsidR="001E6E93" w:rsidP="001E6E93" w:rsidRDefault="001E6E93" w14:paraId="529B12E4" w14:textId="77777777">
      <w:pPr>
        <w:numPr>
          <w:ilvl w:val="0"/>
          <w:numId w:val="2"/>
        </w:numPr>
        <w:spacing w:before="100" w:beforeAutospacing="1" w:after="100" w:afterAutospacing="1" w:line="240" w:lineRule="auto"/>
        <w:rPr>
          <w:rFonts w:eastAsia="Times New Roman" w:asciiTheme="minorHAnsi" w:hAnsiTheme="minorHAnsi" w:cstheme="minorHAnsi"/>
          <w:szCs w:val="24"/>
          <w:lang w:eastAsia="pl-PL"/>
        </w:rPr>
      </w:pPr>
      <w:r w:rsidRPr="00E919EB">
        <w:rPr>
          <w:rFonts w:eastAsia="Times New Roman" w:asciiTheme="minorHAnsi" w:hAnsiTheme="minorHAnsi" w:cstheme="minorHAnsi"/>
          <w:szCs w:val="24"/>
          <w:lang w:eastAsia="pl-PL"/>
        </w:rPr>
        <w:t xml:space="preserve">Oleszkowicz, A., &amp; </w:t>
      </w:r>
      <w:proofErr w:type="spellStart"/>
      <w:r w:rsidRPr="00E919EB">
        <w:rPr>
          <w:rFonts w:eastAsia="Times New Roman" w:asciiTheme="minorHAnsi" w:hAnsiTheme="minorHAnsi" w:cstheme="minorHAnsi"/>
          <w:szCs w:val="24"/>
          <w:lang w:eastAsia="pl-PL"/>
        </w:rPr>
        <w:t>Senejko</w:t>
      </w:r>
      <w:proofErr w:type="spellEnd"/>
      <w:r w:rsidRPr="00E919EB">
        <w:rPr>
          <w:rFonts w:eastAsia="Times New Roman" w:asciiTheme="minorHAnsi" w:hAnsiTheme="minorHAnsi" w:cstheme="minorHAnsi"/>
          <w:szCs w:val="24"/>
          <w:lang w:eastAsia="pl-PL"/>
        </w:rPr>
        <w:t xml:space="preserve">, A. (2011). Dorastanie [Adolescence]. In J. Trempała (Ed.), </w:t>
      </w:r>
      <w:r w:rsidRPr="00E919EB">
        <w:rPr>
          <w:rFonts w:eastAsia="Times New Roman" w:asciiTheme="minorHAnsi" w:hAnsiTheme="minorHAnsi" w:cstheme="minorHAnsi"/>
          <w:i/>
          <w:iCs/>
          <w:szCs w:val="24"/>
          <w:lang w:eastAsia="pl-PL"/>
        </w:rPr>
        <w:t>Psychologia rozwoju człowieka</w:t>
      </w:r>
      <w:r w:rsidRPr="00E919EB">
        <w:rPr>
          <w:rFonts w:eastAsia="Times New Roman" w:asciiTheme="minorHAnsi" w:hAnsiTheme="minorHAnsi" w:cstheme="minorHAnsi"/>
          <w:szCs w:val="24"/>
          <w:lang w:eastAsia="pl-PL"/>
        </w:rPr>
        <w:t xml:space="preserve"> [</w:t>
      </w:r>
      <w:proofErr w:type="spellStart"/>
      <w:r w:rsidRPr="00E919EB">
        <w:rPr>
          <w:rFonts w:eastAsia="Times New Roman" w:asciiTheme="minorHAnsi" w:hAnsiTheme="minorHAnsi" w:cstheme="minorHAnsi"/>
          <w:i/>
          <w:iCs/>
          <w:szCs w:val="24"/>
          <w:lang w:eastAsia="pl-PL"/>
        </w:rPr>
        <w:t>Psychology</w:t>
      </w:r>
      <w:proofErr w:type="spellEnd"/>
      <w:r w:rsidRPr="00E919EB">
        <w:rPr>
          <w:rFonts w:eastAsia="Times New Roman" w:asciiTheme="minorHAnsi" w:hAnsiTheme="minorHAnsi" w:cstheme="minorHAnsi"/>
          <w:i/>
          <w:iCs/>
          <w:szCs w:val="24"/>
          <w:lang w:eastAsia="pl-PL"/>
        </w:rPr>
        <w:t xml:space="preserve"> of </w:t>
      </w:r>
      <w:proofErr w:type="spellStart"/>
      <w:r w:rsidRPr="00E919EB">
        <w:rPr>
          <w:rFonts w:eastAsia="Times New Roman" w:asciiTheme="minorHAnsi" w:hAnsiTheme="minorHAnsi" w:cstheme="minorHAnsi"/>
          <w:i/>
          <w:iCs/>
          <w:szCs w:val="24"/>
          <w:lang w:eastAsia="pl-PL"/>
        </w:rPr>
        <w:t>human</w:t>
      </w:r>
      <w:proofErr w:type="spellEnd"/>
      <w:r w:rsidRPr="00E919EB">
        <w:rPr>
          <w:rFonts w:eastAsia="Times New Roman" w:asciiTheme="minorHAnsi" w:hAnsiTheme="minorHAnsi" w:cstheme="minorHAnsi"/>
          <w:i/>
          <w:iCs/>
          <w:szCs w:val="24"/>
          <w:lang w:eastAsia="pl-PL"/>
        </w:rPr>
        <w:t xml:space="preserve"> development</w:t>
      </w:r>
      <w:r w:rsidRPr="00E919EB">
        <w:rPr>
          <w:rFonts w:eastAsia="Times New Roman" w:asciiTheme="minorHAnsi" w:hAnsiTheme="minorHAnsi" w:cstheme="minorHAnsi"/>
          <w:szCs w:val="24"/>
          <w:lang w:eastAsia="pl-PL"/>
        </w:rPr>
        <w:t>] (pp. 259–286). Wydawnictwo Naukowe PWN.</w:t>
      </w:r>
    </w:p>
    <w:p w:rsidRPr="00E919EB" w:rsidR="001E6E93" w:rsidP="001E6E93" w:rsidRDefault="001E6E93" w14:paraId="22309DBB" w14:textId="1541E9BB">
      <w:pPr>
        <w:numPr>
          <w:ilvl w:val="0"/>
          <w:numId w:val="2"/>
        </w:numPr>
        <w:spacing w:before="100" w:beforeAutospacing="1" w:after="100" w:afterAutospacing="1" w:line="240" w:lineRule="auto"/>
        <w:rPr>
          <w:rFonts w:eastAsia="Times New Roman" w:asciiTheme="minorHAnsi" w:hAnsiTheme="minorHAnsi" w:cstheme="minorHAnsi"/>
          <w:szCs w:val="24"/>
          <w:lang w:eastAsia="pl-PL"/>
        </w:rPr>
      </w:pPr>
      <w:r w:rsidRPr="00E919EB">
        <w:rPr>
          <w:rFonts w:eastAsia="Times New Roman" w:asciiTheme="minorHAnsi" w:hAnsiTheme="minorHAnsi" w:cstheme="minorHAnsi"/>
          <w:szCs w:val="24"/>
          <w:lang w:val="en-GB" w:eastAsia="pl-PL"/>
        </w:rPr>
        <w:t xml:space="preserve">Cheng, J., Zhao, Y. Y., Wang, J., &amp; Sun, Y. H. (2019). Academic burnout and depression of Chinese medical students in the pre-clinical years: The buffering hypothesis of resilience and social support. </w:t>
      </w:r>
      <w:proofErr w:type="spellStart"/>
      <w:r w:rsidRPr="00E919EB">
        <w:rPr>
          <w:rFonts w:eastAsia="Times New Roman" w:asciiTheme="minorHAnsi" w:hAnsiTheme="minorHAnsi" w:cstheme="minorHAnsi"/>
          <w:i/>
          <w:iCs/>
          <w:szCs w:val="24"/>
          <w:lang w:eastAsia="pl-PL"/>
        </w:rPr>
        <w:t>Psychology</w:t>
      </w:r>
      <w:proofErr w:type="spellEnd"/>
      <w:r w:rsidRPr="00E919EB">
        <w:rPr>
          <w:rFonts w:eastAsia="Times New Roman" w:asciiTheme="minorHAnsi" w:hAnsiTheme="minorHAnsi" w:cstheme="minorHAnsi"/>
          <w:i/>
          <w:iCs/>
          <w:szCs w:val="24"/>
          <w:lang w:eastAsia="pl-PL"/>
        </w:rPr>
        <w:t xml:space="preserve"> </w:t>
      </w:r>
      <w:proofErr w:type="spellStart"/>
      <w:r w:rsidRPr="00E919EB">
        <w:rPr>
          <w:rFonts w:eastAsia="Times New Roman" w:asciiTheme="minorHAnsi" w:hAnsiTheme="minorHAnsi" w:cstheme="minorHAnsi"/>
          <w:i/>
          <w:iCs/>
          <w:szCs w:val="24"/>
          <w:lang w:eastAsia="pl-PL"/>
        </w:rPr>
        <w:t>Health</w:t>
      </w:r>
      <w:proofErr w:type="spellEnd"/>
      <w:r w:rsidRPr="00E919EB">
        <w:rPr>
          <w:rFonts w:eastAsia="Times New Roman" w:asciiTheme="minorHAnsi" w:hAnsiTheme="minorHAnsi" w:cstheme="minorHAnsi"/>
          <w:i/>
          <w:iCs/>
          <w:szCs w:val="24"/>
          <w:lang w:eastAsia="pl-PL"/>
        </w:rPr>
        <w:t xml:space="preserve"> &amp; </w:t>
      </w:r>
      <w:proofErr w:type="spellStart"/>
      <w:r w:rsidRPr="00E919EB">
        <w:rPr>
          <w:rFonts w:eastAsia="Times New Roman" w:asciiTheme="minorHAnsi" w:hAnsiTheme="minorHAnsi" w:cstheme="minorHAnsi"/>
          <w:i/>
          <w:iCs/>
          <w:szCs w:val="24"/>
          <w:lang w:eastAsia="pl-PL"/>
        </w:rPr>
        <w:t>Medicine</w:t>
      </w:r>
      <w:proofErr w:type="spellEnd"/>
      <w:r w:rsidRPr="00E919EB">
        <w:rPr>
          <w:rFonts w:eastAsia="Times New Roman" w:asciiTheme="minorHAnsi" w:hAnsiTheme="minorHAnsi" w:cstheme="minorHAnsi"/>
          <w:szCs w:val="24"/>
          <w:lang w:eastAsia="pl-PL"/>
        </w:rPr>
        <w:t xml:space="preserve">, </w:t>
      </w:r>
      <w:r w:rsidRPr="00E919EB">
        <w:rPr>
          <w:rFonts w:eastAsia="Times New Roman" w:asciiTheme="minorHAnsi" w:hAnsiTheme="minorHAnsi" w:cstheme="minorHAnsi"/>
          <w:i/>
          <w:iCs/>
          <w:szCs w:val="24"/>
          <w:lang w:eastAsia="pl-PL"/>
        </w:rPr>
        <w:t>25</w:t>
      </w:r>
      <w:r w:rsidRPr="00E919EB">
        <w:rPr>
          <w:rFonts w:eastAsia="Times New Roman" w:asciiTheme="minorHAnsi" w:hAnsiTheme="minorHAnsi" w:cstheme="minorHAnsi"/>
          <w:szCs w:val="24"/>
          <w:lang w:eastAsia="pl-PL"/>
        </w:rPr>
        <w:t>(9), 1094–1105. https://doi.org/10.1080/13548506.2019.1709651</w:t>
      </w:r>
    </w:p>
    <w:p w:rsidRPr="00E919EB" w:rsidR="001E6E93" w:rsidP="001E6E93" w:rsidRDefault="001E6E93" w14:paraId="3E1FCDCD" w14:textId="77777777">
      <w:pPr>
        <w:numPr>
          <w:ilvl w:val="0"/>
          <w:numId w:val="2"/>
        </w:numPr>
        <w:spacing w:before="100" w:beforeAutospacing="1" w:after="100" w:afterAutospacing="1" w:line="240" w:lineRule="auto"/>
        <w:rPr>
          <w:rFonts w:eastAsia="Times New Roman" w:asciiTheme="minorHAnsi" w:hAnsiTheme="minorHAnsi" w:cstheme="minorHAnsi"/>
          <w:szCs w:val="24"/>
          <w:lang w:eastAsia="pl-PL"/>
        </w:rPr>
      </w:pPr>
      <w:proofErr w:type="spellStart"/>
      <w:r w:rsidRPr="00E919EB">
        <w:rPr>
          <w:rFonts w:eastAsia="Times New Roman" w:asciiTheme="minorHAnsi" w:hAnsiTheme="minorHAnsi" w:cstheme="minorHAnsi"/>
          <w:szCs w:val="24"/>
          <w:lang w:val="en-GB" w:eastAsia="pl-PL"/>
        </w:rPr>
        <w:t>Rostowska</w:t>
      </w:r>
      <w:proofErr w:type="spellEnd"/>
      <w:r w:rsidRPr="00E919EB">
        <w:rPr>
          <w:rFonts w:eastAsia="Times New Roman" w:asciiTheme="minorHAnsi" w:hAnsiTheme="minorHAnsi" w:cstheme="minorHAnsi"/>
          <w:szCs w:val="24"/>
          <w:lang w:val="en-GB" w:eastAsia="pl-PL"/>
        </w:rPr>
        <w:t xml:space="preserve">, T. (2008). </w:t>
      </w:r>
      <w:proofErr w:type="spellStart"/>
      <w:r w:rsidRPr="00E919EB">
        <w:rPr>
          <w:rFonts w:eastAsia="Times New Roman" w:asciiTheme="minorHAnsi" w:hAnsiTheme="minorHAnsi" w:cstheme="minorHAnsi"/>
          <w:i/>
          <w:iCs/>
          <w:szCs w:val="24"/>
          <w:lang w:val="en-GB" w:eastAsia="pl-PL"/>
        </w:rPr>
        <w:t>Małżeństwo</w:t>
      </w:r>
      <w:proofErr w:type="spellEnd"/>
      <w:r w:rsidRPr="00E919EB">
        <w:rPr>
          <w:rFonts w:eastAsia="Times New Roman" w:asciiTheme="minorHAnsi" w:hAnsiTheme="minorHAnsi" w:cstheme="minorHAnsi"/>
          <w:i/>
          <w:iCs/>
          <w:szCs w:val="24"/>
          <w:lang w:val="en-GB" w:eastAsia="pl-PL"/>
        </w:rPr>
        <w:t xml:space="preserve">, </w:t>
      </w:r>
      <w:proofErr w:type="spellStart"/>
      <w:r w:rsidRPr="00E919EB">
        <w:rPr>
          <w:rFonts w:eastAsia="Times New Roman" w:asciiTheme="minorHAnsi" w:hAnsiTheme="minorHAnsi" w:cstheme="minorHAnsi"/>
          <w:i/>
          <w:iCs/>
          <w:szCs w:val="24"/>
          <w:lang w:val="en-GB" w:eastAsia="pl-PL"/>
        </w:rPr>
        <w:t>rodzina</w:t>
      </w:r>
      <w:proofErr w:type="spellEnd"/>
      <w:r w:rsidRPr="00E919EB">
        <w:rPr>
          <w:rFonts w:eastAsia="Times New Roman" w:asciiTheme="minorHAnsi" w:hAnsiTheme="minorHAnsi" w:cstheme="minorHAnsi"/>
          <w:i/>
          <w:iCs/>
          <w:szCs w:val="24"/>
          <w:lang w:val="en-GB" w:eastAsia="pl-PL"/>
        </w:rPr>
        <w:t xml:space="preserve">, </w:t>
      </w:r>
      <w:proofErr w:type="spellStart"/>
      <w:r w:rsidRPr="00E919EB">
        <w:rPr>
          <w:rFonts w:eastAsia="Times New Roman" w:asciiTheme="minorHAnsi" w:hAnsiTheme="minorHAnsi" w:cstheme="minorHAnsi"/>
          <w:i/>
          <w:iCs/>
          <w:szCs w:val="24"/>
          <w:lang w:val="en-GB" w:eastAsia="pl-PL"/>
        </w:rPr>
        <w:t>praca</w:t>
      </w:r>
      <w:proofErr w:type="spellEnd"/>
      <w:r w:rsidRPr="00E919EB">
        <w:rPr>
          <w:rFonts w:eastAsia="Times New Roman" w:asciiTheme="minorHAnsi" w:hAnsiTheme="minorHAnsi" w:cstheme="minorHAnsi"/>
          <w:i/>
          <w:iCs/>
          <w:szCs w:val="24"/>
          <w:lang w:val="en-GB" w:eastAsia="pl-PL"/>
        </w:rPr>
        <w:t xml:space="preserve"> a </w:t>
      </w:r>
      <w:proofErr w:type="spellStart"/>
      <w:r w:rsidRPr="00E919EB">
        <w:rPr>
          <w:rFonts w:eastAsia="Times New Roman" w:asciiTheme="minorHAnsi" w:hAnsiTheme="minorHAnsi" w:cstheme="minorHAnsi"/>
          <w:i/>
          <w:iCs/>
          <w:szCs w:val="24"/>
          <w:lang w:val="en-GB" w:eastAsia="pl-PL"/>
        </w:rPr>
        <w:t>jakość</w:t>
      </w:r>
      <w:proofErr w:type="spellEnd"/>
      <w:r w:rsidRPr="00E919EB">
        <w:rPr>
          <w:rFonts w:eastAsia="Times New Roman" w:asciiTheme="minorHAnsi" w:hAnsiTheme="minorHAnsi" w:cstheme="minorHAnsi"/>
          <w:i/>
          <w:iCs/>
          <w:szCs w:val="24"/>
          <w:lang w:val="en-GB" w:eastAsia="pl-PL"/>
        </w:rPr>
        <w:t xml:space="preserve"> </w:t>
      </w:r>
      <w:proofErr w:type="spellStart"/>
      <w:r w:rsidRPr="00E919EB">
        <w:rPr>
          <w:rFonts w:eastAsia="Times New Roman" w:asciiTheme="minorHAnsi" w:hAnsiTheme="minorHAnsi" w:cstheme="minorHAnsi"/>
          <w:i/>
          <w:iCs/>
          <w:szCs w:val="24"/>
          <w:lang w:val="en-GB" w:eastAsia="pl-PL"/>
        </w:rPr>
        <w:t>życia</w:t>
      </w:r>
      <w:proofErr w:type="spellEnd"/>
      <w:r w:rsidRPr="00E919EB">
        <w:rPr>
          <w:rFonts w:eastAsia="Times New Roman" w:asciiTheme="minorHAnsi" w:hAnsiTheme="minorHAnsi" w:cstheme="minorHAnsi"/>
          <w:szCs w:val="24"/>
          <w:lang w:val="en-GB" w:eastAsia="pl-PL"/>
        </w:rPr>
        <w:t xml:space="preserve"> [</w:t>
      </w:r>
      <w:r w:rsidRPr="00E919EB">
        <w:rPr>
          <w:rFonts w:eastAsia="Times New Roman" w:asciiTheme="minorHAnsi" w:hAnsiTheme="minorHAnsi" w:cstheme="minorHAnsi"/>
          <w:i/>
          <w:iCs/>
          <w:szCs w:val="24"/>
          <w:lang w:val="en-GB" w:eastAsia="pl-PL"/>
        </w:rPr>
        <w:t>Marriage, family, work and the quality of life</w:t>
      </w:r>
      <w:r w:rsidRPr="00E919EB">
        <w:rPr>
          <w:rFonts w:eastAsia="Times New Roman" w:asciiTheme="minorHAnsi" w:hAnsiTheme="minorHAnsi" w:cstheme="minorHAnsi"/>
          <w:szCs w:val="24"/>
          <w:lang w:val="en-GB" w:eastAsia="pl-PL"/>
        </w:rPr>
        <w:t xml:space="preserve">]. </w:t>
      </w:r>
      <w:r w:rsidRPr="00E919EB">
        <w:rPr>
          <w:rFonts w:eastAsia="Times New Roman" w:asciiTheme="minorHAnsi" w:hAnsiTheme="minorHAnsi" w:cstheme="minorHAnsi"/>
          <w:szCs w:val="24"/>
          <w:lang w:eastAsia="pl-PL"/>
        </w:rPr>
        <w:t>Oficyna Wydawnicza Impuls.</w:t>
      </w:r>
    </w:p>
    <w:p w:rsidRPr="00E919EB" w:rsidR="001E6E93" w:rsidP="001E6E93" w:rsidRDefault="001E6E93" w14:paraId="6526F428" w14:textId="45149136">
      <w:pPr>
        <w:numPr>
          <w:ilvl w:val="0"/>
          <w:numId w:val="2"/>
        </w:numPr>
        <w:spacing w:before="100" w:beforeAutospacing="1" w:after="100" w:afterAutospacing="1" w:line="240" w:lineRule="auto"/>
        <w:rPr>
          <w:rFonts w:eastAsia="Times New Roman" w:asciiTheme="minorHAnsi" w:hAnsiTheme="minorHAnsi" w:cstheme="minorHAnsi"/>
          <w:szCs w:val="24"/>
          <w:lang w:eastAsia="pl-PL"/>
        </w:rPr>
      </w:pPr>
      <w:r w:rsidRPr="00E919EB">
        <w:rPr>
          <w:rFonts w:eastAsia="Times New Roman" w:asciiTheme="minorHAnsi" w:hAnsiTheme="minorHAnsi" w:cstheme="minorHAnsi"/>
          <w:szCs w:val="24"/>
          <w:lang w:val="en-GB" w:eastAsia="pl-PL"/>
        </w:rPr>
        <w:t xml:space="preserve">Zeigler-Hill, V., &amp; Marcus, D. K. (Eds.). (2016). </w:t>
      </w:r>
      <w:r w:rsidRPr="00E919EB">
        <w:rPr>
          <w:rFonts w:eastAsia="Times New Roman" w:asciiTheme="minorHAnsi" w:hAnsiTheme="minorHAnsi" w:cstheme="minorHAnsi"/>
          <w:i/>
          <w:iCs/>
          <w:szCs w:val="24"/>
          <w:lang w:val="en-GB" w:eastAsia="pl-PL"/>
        </w:rPr>
        <w:t>The dark side of personality: Science and practice in social, personality, and clinical psychology</w:t>
      </w:r>
      <w:r w:rsidRPr="00E919EB">
        <w:rPr>
          <w:rFonts w:eastAsia="Times New Roman" w:asciiTheme="minorHAnsi" w:hAnsiTheme="minorHAnsi" w:cstheme="minorHAnsi"/>
          <w:szCs w:val="24"/>
          <w:lang w:val="en-GB" w:eastAsia="pl-PL"/>
        </w:rPr>
        <w:t xml:space="preserve">. </w:t>
      </w:r>
      <w:r w:rsidRPr="00E919EB">
        <w:rPr>
          <w:rFonts w:eastAsia="Times New Roman" w:asciiTheme="minorHAnsi" w:hAnsiTheme="minorHAnsi" w:cstheme="minorHAnsi"/>
          <w:szCs w:val="24"/>
          <w:lang w:eastAsia="pl-PL"/>
        </w:rPr>
        <w:t xml:space="preserve">American </w:t>
      </w:r>
      <w:proofErr w:type="spellStart"/>
      <w:r w:rsidRPr="00E919EB">
        <w:rPr>
          <w:rFonts w:eastAsia="Times New Roman" w:asciiTheme="minorHAnsi" w:hAnsiTheme="minorHAnsi" w:cstheme="minorHAnsi"/>
          <w:szCs w:val="24"/>
          <w:lang w:eastAsia="pl-PL"/>
        </w:rPr>
        <w:t>Psychological</w:t>
      </w:r>
      <w:proofErr w:type="spellEnd"/>
      <w:r w:rsidRPr="00E919EB">
        <w:rPr>
          <w:rFonts w:eastAsia="Times New Roman" w:asciiTheme="minorHAnsi" w:hAnsiTheme="minorHAnsi" w:cstheme="minorHAnsi"/>
          <w:szCs w:val="24"/>
          <w:lang w:eastAsia="pl-PL"/>
        </w:rPr>
        <w:t xml:space="preserve"> </w:t>
      </w:r>
      <w:proofErr w:type="spellStart"/>
      <w:r w:rsidRPr="00E919EB">
        <w:rPr>
          <w:rFonts w:eastAsia="Times New Roman" w:asciiTheme="minorHAnsi" w:hAnsiTheme="minorHAnsi" w:cstheme="minorHAnsi"/>
          <w:szCs w:val="24"/>
          <w:lang w:eastAsia="pl-PL"/>
        </w:rPr>
        <w:t>Association</w:t>
      </w:r>
      <w:proofErr w:type="spellEnd"/>
      <w:r w:rsidRPr="00E919EB">
        <w:rPr>
          <w:rFonts w:eastAsia="Times New Roman" w:asciiTheme="minorHAnsi" w:hAnsiTheme="minorHAnsi" w:cstheme="minorHAnsi"/>
          <w:szCs w:val="24"/>
          <w:lang w:eastAsia="pl-PL"/>
        </w:rPr>
        <w:t>. https://doi.org/10.1037/14854-000</w:t>
      </w:r>
    </w:p>
    <w:p w:rsidRPr="00E919EB" w:rsidR="001E6E93" w:rsidP="001E6E93" w:rsidRDefault="001E6E93" w14:paraId="3DD83ED8" w14:textId="77777777">
      <w:pPr>
        <w:spacing w:before="100" w:beforeAutospacing="1" w:after="100" w:afterAutospacing="1" w:line="240" w:lineRule="auto"/>
        <w:rPr>
          <w:rFonts w:eastAsia="Times New Roman" w:asciiTheme="minorHAnsi" w:hAnsiTheme="minorHAnsi" w:cstheme="minorHAnsi"/>
          <w:szCs w:val="24"/>
          <w:lang w:val="en-GB" w:eastAsia="pl-PL"/>
        </w:rPr>
      </w:pPr>
      <w:r w:rsidRPr="795A8DE5" w:rsidR="001E6E93">
        <w:rPr>
          <w:rFonts w:ascii="Calibri" w:hAnsi="Calibri" w:eastAsia="Times New Roman" w:cs="Calibri" w:asciiTheme="minorAscii" w:hAnsiTheme="minorAscii" w:cstheme="minorAscii"/>
          <w:lang w:val="en-GB" w:eastAsia="pl-PL"/>
        </w:rPr>
        <w:t xml:space="preserve">The reference list must be </w:t>
      </w:r>
      <w:r w:rsidRPr="795A8DE5" w:rsidR="001E6E93">
        <w:rPr>
          <w:rFonts w:ascii="Calibri" w:hAnsi="Calibri" w:eastAsia="Times New Roman" w:cs="Calibri" w:asciiTheme="minorAscii" w:hAnsiTheme="minorAscii" w:cstheme="minorAscii"/>
          <w:b w:val="1"/>
          <w:bCs w:val="1"/>
          <w:lang w:val="en-GB" w:eastAsia="pl-PL"/>
        </w:rPr>
        <w:t>complete and consistent</w:t>
      </w:r>
      <w:r w:rsidRPr="795A8DE5" w:rsidR="001E6E93">
        <w:rPr>
          <w:rFonts w:ascii="Calibri" w:hAnsi="Calibri" w:eastAsia="Times New Roman" w:cs="Calibri" w:asciiTheme="minorAscii" w:hAnsiTheme="minorAscii" w:cstheme="minorAscii"/>
          <w:lang w:val="en-GB" w:eastAsia="pl-PL"/>
        </w:rPr>
        <w:t xml:space="preserve"> with the required format.</w:t>
      </w:r>
    </w:p>
    <w:p w:rsidR="795A8DE5" w:rsidP="795A8DE5" w:rsidRDefault="795A8DE5" w14:paraId="6B670319" w14:textId="776CC66C">
      <w:pPr>
        <w:spacing w:beforeAutospacing="on" w:afterAutospacing="on" w:line="240" w:lineRule="auto"/>
        <w:rPr>
          <w:rFonts w:ascii="Calibri" w:hAnsi="Calibri" w:eastAsia="Times New Roman" w:cs="Calibri" w:asciiTheme="minorAscii" w:hAnsiTheme="minorAscii" w:cstheme="minorAscii"/>
          <w:lang w:val="en-GB" w:eastAsia="pl-PL"/>
        </w:rPr>
      </w:pPr>
    </w:p>
    <w:p w:rsidR="00E919EB" w:rsidP="00D2523B" w:rsidRDefault="001E6E93" w14:paraId="1BB348DA" w14:textId="77777777">
      <w:pPr>
        <w:pStyle w:val="Akapitzlist"/>
        <w:numPr>
          <w:ilvl w:val="0"/>
          <w:numId w:val="3"/>
        </w:numPr>
        <w:spacing w:before="100" w:beforeAutospacing="1" w:after="100" w:afterAutospacing="1" w:line="240" w:lineRule="auto"/>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 xml:space="preserve">A separate file with </w:t>
      </w:r>
      <w:r w:rsidRPr="00E919EB">
        <w:rPr>
          <w:rFonts w:eastAsia="Times New Roman" w:asciiTheme="minorHAnsi" w:hAnsiTheme="minorHAnsi" w:cstheme="minorHAnsi"/>
          <w:b/>
          <w:bCs/>
          <w:szCs w:val="24"/>
          <w:lang w:val="en-GB" w:eastAsia="pl-PL"/>
        </w:rPr>
        <w:t>author notes</w:t>
      </w:r>
      <w:r w:rsidRPr="00E919EB">
        <w:rPr>
          <w:rFonts w:eastAsia="Times New Roman" w:asciiTheme="minorHAnsi" w:hAnsiTheme="minorHAnsi" w:cstheme="minorHAnsi"/>
          <w:szCs w:val="24"/>
          <w:lang w:val="en-GB" w:eastAsia="pl-PL"/>
        </w:rPr>
        <w:t xml:space="preserve"> must include the full names and affiliations of the authors (without academic degrees or titles), their email addresses, author contribution notes, and </w:t>
      </w:r>
      <w:r w:rsidRPr="00E919EB">
        <w:rPr>
          <w:rFonts w:eastAsia="Times New Roman" w:asciiTheme="minorHAnsi" w:hAnsiTheme="minorHAnsi" w:cstheme="minorHAnsi"/>
          <w:b/>
          <w:bCs/>
          <w:szCs w:val="24"/>
          <w:lang w:val="en-GB" w:eastAsia="pl-PL"/>
        </w:rPr>
        <w:t>ORCID numbers</w:t>
      </w:r>
      <w:r w:rsidRPr="00E919EB">
        <w:rPr>
          <w:rFonts w:eastAsia="Times New Roman" w:asciiTheme="minorHAnsi" w:hAnsiTheme="minorHAnsi" w:cstheme="minorHAnsi"/>
          <w:szCs w:val="24"/>
          <w:lang w:val="en-GB" w:eastAsia="pl-PL"/>
        </w:rPr>
        <w:t xml:space="preserve"> for each author.</w:t>
      </w:r>
    </w:p>
    <w:p w:rsidR="00E919EB" w:rsidP="00E919EB" w:rsidRDefault="00E919EB" w14:paraId="0BDA36A4" w14:textId="77777777">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p>
    <w:p w:rsidRPr="00E919EB" w:rsidR="001E6E93" w:rsidP="00E919EB" w:rsidRDefault="001E6E93" w14:paraId="7C9DC610" w14:textId="47FE8FAA">
      <w:pPr>
        <w:pStyle w:val="Akapitzlist"/>
        <w:spacing w:before="100" w:beforeAutospacing="1" w:after="100" w:afterAutospacing="1" w:line="240" w:lineRule="auto"/>
        <w:ind w:left="360"/>
        <w:jc w:val="both"/>
        <w:rPr>
          <w:rFonts w:eastAsia="Times New Roman" w:asciiTheme="minorHAnsi" w:hAnsiTheme="minorHAnsi" w:cstheme="minorHAnsi"/>
          <w:szCs w:val="24"/>
          <w:lang w:val="en-GB" w:eastAsia="pl-PL"/>
        </w:rPr>
      </w:pPr>
      <w:r w:rsidRPr="00E919EB">
        <w:rPr>
          <w:rFonts w:eastAsia="Times New Roman" w:asciiTheme="minorHAnsi" w:hAnsiTheme="minorHAnsi" w:cstheme="minorHAnsi"/>
          <w:szCs w:val="24"/>
          <w:lang w:val="en-GB" w:eastAsia="pl-PL"/>
        </w:rPr>
        <w:t xml:space="preserve">The author notes should disclose the </w:t>
      </w:r>
      <w:r w:rsidRPr="00E919EB">
        <w:rPr>
          <w:rFonts w:eastAsia="Times New Roman" w:asciiTheme="minorHAnsi" w:hAnsiTheme="minorHAnsi" w:cstheme="minorHAnsi"/>
          <w:b/>
          <w:bCs/>
          <w:szCs w:val="24"/>
          <w:lang w:val="en-GB" w:eastAsia="pl-PL"/>
        </w:rPr>
        <w:t>percentage and substantive contribution</w:t>
      </w:r>
      <w:r w:rsidRPr="00E919EB">
        <w:rPr>
          <w:rFonts w:eastAsia="Times New Roman" w:asciiTheme="minorHAnsi" w:hAnsiTheme="minorHAnsi" w:cstheme="minorHAnsi"/>
          <w:szCs w:val="24"/>
          <w:lang w:val="en-GB" w:eastAsia="pl-PL"/>
        </w:rPr>
        <w:t xml:space="preserve"> of each author to the publication (e.g., who was responsible for the concept, assumptions, research methods, data collection, analysis, etc.). Acknowledgments should also indicate </w:t>
      </w:r>
      <w:r w:rsidRPr="00E919EB">
        <w:rPr>
          <w:rFonts w:eastAsia="Times New Roman" w:asciiTheme="minorHAnsi" w:hAnsiTheme="minorHAnsi" w:cstheme="minorHAnsi"/>
          <w:b/>
          <w:bCs/>
          <w:szCs w:val="24"/>
          <w:lang w:val="en-GB" w:eastAsia="pl-PL"/>
        </w:rPr>
        <w:t>sources of funding</w:t>
      </w:r>
      <w:r w:rsidRPr="00E919EB">
        <w:rPr>
          <w:rFonts w:eastAsia="Times New Roman" w:asciiTheme="minorHAnsi" w:hAnsiTheme="minorHAnsi" w:cstheme="minorHAnsi"/>
          <w:szCs w:val="24"/>
          <w:lang w:val="en-GB" w:eastAsia="pl-PL"/>
        </w:rPr>
        <w:t xml:space="preserve"> and assistance from any specialized entities (individuals or institutions).</w:t>
      </w:r>
    </w:p>
    <w:p w:rsidRPr="00E919EB" w:rsidR="001E6E93" w:rsidP="00E919EB" w:rsidRDefault="001E6E93" w14:paraId="4BC44BD9" w14:textId="77777777">
      <w:pPr>
        <w:spacing w:before="100" w:beforeAutospacing="1" w:after="100" w:afterAutospacing="1" w:line="240" w:lineRule="auto"/>
        <w:ind w:firstLine="360"/>
        <w:rPr>
          <w:rFonts w:eastAsia="Times New Roman" w:asciiTheme="minorHAnsi" w:hAnsiTheme="minorHAnsi" w:cstheme="minorHAnsi"/>
          <w:szCs w:val="24"/>
          <w:lang w:val="en-GB" w:eastAsia="pl-PL"/>
        </w:rPr>
      </w:pPr>
      <w:r w:rsidRPr="795A8DE5" w:rsidR="001E6E93">
        <w:rPr>
          <w:rFonts w:ascii="Calibri" w:hAnsi="Calibri" w:eastAsia="Times New Roman" w:cs="Calibri" w:asciiTheme="minorAscii" w:hAnsiTheme="minorAscii" w:cstheme="minorAscii"/>
          <w:lang w:val="en-GB" w:eastAsia="pl-PL"/>
        </w:rPr>
        <w:t xml:space="preserve">This file should also include a </w:t>
      </w:r>
      <w:r w:rsidRPr="795A8DE5" w:rsidR="001E6E93">
        <w:rPr>
          <w:rFonts w:ascii="Calibri" w:hAnsi="Calibri" w:eastAsia="Times New Roman" w:cs="Calibri" w:asciiTheme="minorAscii" w:hAnsiTheme="minorAscii" w:cstheme="minorAscii"/>
          <w:b w:val="1"/>
          <w:bCs w:val="1"/>
          <w:lang w:val="en-GB" w:eastAsia="pl-PL"/>
        </w:rPr>
        <w:t>signed statement</w:t>
      </w:r>
      <w:r w:rsidRPr="795A8DE5" w:rsidR="001E6E93">
        <w:rPr>
          <w:rFonts w:ascii="Calibri" w:hAnsi="Calibri" w:eastAsia="Times New Roman" w:cs="Calibri" w:asciiTheme="minorAscii" w:hAnsiTheme="minorAscii" w:cstheme="minorAscii"/>
          <w:lang w:val="en-GB" w:eastAsia="pl-PL"/>
        </w:rPr>
        <w:t xml:space="preserve"> by the first/corresponding author.</w:t>
      </w:r>
    </w:p>
    <w:p w:rsidR="795A8DE5" w:rsidP="795A8DE5" w:rsidRDefault="795A8DE5" w14:paraId="20EC36B5" w14:textId="70C05536">
      <w:pPr>
        <w:spacing w:beforeAutospacing="on" w:afterAutospacing="on" w:line="240" w:lineRule="auto"/>
        <w:ind w:firstLine="360"/>
        <w:rPr>
          <w:rFonts w:ascii="Calibri" w:hAnsi="Calibri" w:eastAsia="Times New Roman" w:cs="Calibri" w:asciiTheme="minorAscii" w:hAnsiTheme="minorAscii" w:cstheme="minorAscii"/>
          <w:lang w:val="en-GB" w:eastAsia="pl-PL"/>
        </w:rPr>
      </w:pPr>
    </w:p>
    <w:p w:rsidRPr="00E919EB" w:rsidR="005330C1" w:rsidP="795A8DE5" w:rsidRDefault="001E6E93" w14:paraId="44252CB8" w14:textId="44932730">
      <w:pPr>
        <w:spacing w:line="240" w:lineRule="auto"/>
        <w:jc w:val="both"/>
        <w:rPr>
          <w:rFonts w:ascii="Calibri" w:hAnsi="Calibri" w:cs="Calibri" w:asciiTheme="minorAscii" w:hAnsiTheme="minorAscii" w:cstheme="minorAscii"/>
          <w:b w:val="1"/>
          <w:bCs w:val="1"/>
          <w:lang w:val="en-GB"/>
        </w:rPr>
      </w:pPr>
      <w:bookmarkStart w:name="_GoBack" w:id="0"/>
      <w:r w:rsidRPr="795A8DE5" w:rsidR="001E6E93">
        <w:rPr>
          <w:rFonts w:ascii="Calibri" w:hAnsi="Calibri" w:cs="Calibri" w:asciiTheme="minorAscii" w:hAnsiTheme="minorAscii" w:cstheme="minorAscii"/>
          <w:b w:val="1"/>
          <w:bCs w:val="1"/>
          <w:lang w:val="en-GB"/>
        </w:rPr>
        <w:t xml:space="preserve">If the manuscript does not meet the submission requirements, it will be returned </w:t>
      </w:r>
      <w:r w:rsidRPr="795A8DE5" w:rsidR="001E6E93">
        <w:rPr>
          <w:rFonts w:ascii="Calibri" w:hAnsi="Calibri" w:cs="Calibri" w:asciiTheme="minorAscii" w:hAnsiTheme="minorAscii" w:cstheme="minorAscii"/>
          <w:b w:val="1"/>
          <w:bCs w:val="1"/>
          <w:lang w:val="en-GB"/>
        </w:rPr>
        <w:t>for</w:t>
      </w:r>
      <w:r w:rsidRPr="795A8DE5" w:rsidR="00E919EB">
        <w:rPr>
          <w:rFonts w:ascii="Calibri" w:hAnsi="Calibri" w:cs="Calibri" w:asciiTheme="minorAscii" w:hAnsiTheme="minorAscii" w:cstheme="minorAscii"/>
          <w:b w:val="1"/>
          <w:bCs w:val="1"/>
          <w:lang w:val="en-GB"/>
        </w:rPr>
        <w:t xml:space="preserve"> r</w:t>
      </w:r>
      <w:r w:rsidRPr="795A8DE5" w:rsidR="001E6E93">
        <w:rPr>
          <w:rFonts w:ascii="Calibri" w:hAnsi="Calibri" w:cs="Calibri" w:asciiTheme="minorAscii" w:hAnsiTheme="minorAscii" w:cstheme="minorAscii"/>
          <w:b w:val="1"/>
          <w:bCs w:val="1"/>
          <w:lang w:val="en-GB"/>
        </w:rPr>
        <w:t>evision</w:t>
      </w:r>
      <w:r w:rsidRPr="795A8DE5" w:rsidR="001E6E93">
        <w:rPr>
          <w:rFonts w:ascii="Calibri" w:hAnsi="Calibri" w:cs="Calibri" w:asciiTheme="minorAscii" w:hAnsiTheme="minorAscii" w:cstheme="minorAscii"/>
          <w:b w:val="1"/>
          <w:bCs w:val="1"/>
          <w:lang w:val="en-GB"/>
        </w:rPr>
        <w:t>.</w:t>
      </w:r>
      <w:bookmarkEnd w:id="0"/>
    </w:p>
    <w:sectPr w:rsidRPr="00E919EB" w:rsidR="005330C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86A6A"/>
    <w:multiLevelType w:val="hybridMultilevel"/>
    <w:tmpl w:val="022EEBE0"/>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501B6802"/>
    <w:multiLevelType w:val="multilevel"/>
    <w:tmpl w:val="BEECF9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72160FA"/>
    <w:multiLevelType w:val="multilevel"/>
    <w:tmpl w:val="5308DC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E93"/>
    <w:rsid w:val="000A3EDE"/>
    <w:rsid w:val="001E6E93"/>
    <w:rsid w:val="005330C1"/>
    <w:rsid w:val="00692F82"/>
    <w:rsid w:val="00725721"/>
    <w:rsid w:val="00862F54"/>
    <w:rsid w:val="00AD7290"/>
    <w:rsid w:val="00BB2755"/>
    <w:rsid w:val="00E919EB"/>
    <w:rsid w:val="00F81BF3"/>
    <w:rsid w:val="00FA6181"/>
    <w:rsid w:val="795A8D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F4CCF"/>
  <w15:chartTrackingRefBased/>
  <w15:docId w15:val="{F08CAC29-6817-4E53-A4A2-BB5C791F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Palatino Linotype" w:cs="Times New Roman"/>
        <w:sz w:val="24"/>
        <w:szCs w:val="22"/>
        <w:lang w:val="pl-PL"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ny" w:default="1">
    <w:name w:val="Normal"/>
    <w:qFormat/>
    <w:rsid w:val="000A3EDE"/>
  </w:style>
  <w:style w:type="paragraph" w:styleId="Nagwek1">
    <w:name w:val="heading 1"/>
    <w:basedOn w:val="Normalny"/>
    <w:next w:val="Normalny"/>
    <w:link w:val="Nagwek1Znak"/>
    <w:uiPriority w:val="9"/>
    <w:qFormat/>
    <w:rsid w:val="001E6E93"/>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E6E93"/>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1E6E93"/>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E6E93"/>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1E6E93"/>
    <w:pPr>
      <w:keepNext/>
      <w:keepLines/>
      <w:spacing w:before="80" w:after="40"/>
      <w:outlineLvl w:val="4"/>
    </w:pPr>
    <w:rPr>
      <w:rFonts w:asciiTheme="minorHAnsi" w:hAnsiTheme="minorHAnsi"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1E6E93"/>
    <w:pPr>
      <w:keepNext/>
      <w:keepLines/>
      <w:spacing w:before="40"/>
      <w:outlineLvl w:val="5"/>
    </w:pPr>
    <w:rPr>
      <w:rFonts w:asciiTheme="minorHAnsi" w:hAnsiTheme="minorHAnsi"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E6E93"/>
    <w:pPr>
      <w:keepNext/>
      <w:keepLines/>
      <w:spacing w:before="40"/>
      <w:outlineLvl w:val="6"/>
    </w:pPr>
    <w:rPr>
      <w:rFonts w:asciiTheme="minorHAnsi" w:hAnsiTheme="minorHAnsi"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E6E93"/>
    <w:pPr>
      <w:keepNext/>
      <w:keepLines/>
      <w:outlineLvl w:val="7"/>
    </w:pPr>
    <w:rPr>
      <w:rFonts w:asciiTheme="minorHAnsi" w:hAnsiTheme="minorHAnsi"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E6E93"/>
    <w:pPr>
      <w:keepNext/>
      <w:keepLines/>
      <w:outlineLvl w:val="8"/>
    </w:pPr>
    <w:rPr>
      <w:rFonts w:asciiTheme="minorHAnsi" w:hAnsiTheme="minorHAnsi" w:eastAsiaTheme="majorEastAsia" w:cstheme="majorBidi"/>
      <w:color w:val="272727" w:themeColor="text1" w:themeTint="D8"/>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Nagwek1Znak" w:customStyle="1">
    <w:name w:val="Nagłówek 1 Znak"/>
    <w:basedOn w:val="Domylnaczcionkaakapitu"/>
    <w:link w:val="Nagwek1"/>
    <w:uiPriority w:val="9"/>
    <w:rsid w:val="001E6E93"/>
    <w:rPr>
      <w:rFonts w:asciiTheme="majorHAnsi" w:hAnsiTheme="majorHAnsi" w:eastAsiaTheme="majorEastAsia" w:cstheme="majorBidi"/>
      <w:color w:val="2F5496" w:themeColor="accent1" w:themeShade="BF"/>
      <w:sz w:val="40"/>
      <w:szCs w:val="40"/>
    </w:rPr>
  </w:style>
  <w:style w:type="character" w:styleId="Nagwek2Znak" w:customStyle="1">
    <w:name w:val="Nagłówek 2 Znak"/>
    <w:basedOn w:val="Domylnaczcionkaakapitu"/>
    <w:link w:val="Nagwek2"/>
    <w:uiPriority w:val="9"/>
    <w:semiHidden/>
    <w:rsid w:val="001E6E93"/>
    <w:rPr>
      <w:rFonts w:asciiTheme="majorHAnsi" w:hAnsiTheme="majorHAnsi" w:eastAsiaTheme="majorEastAsia" w:cstheme="majorBidi"/>
      <w:color w:val="2F5496" w:themeColor="accent1" w:themeShade="BF"/>
      <w:sz w:val="32"/>
      <w:szCs w:val="32"/>
    </w:rPr>
  </w:style>
  <w:style w:type="character" w:styleId="Nagwek3Znak" w:customStyle="1">
    <w:name w:val="Nagłówek 3 Znak"/>
    <w:basedOn w:val="Domylnaczcionkaakapitu"/>
    <w:link w:val="Nagwek3"/>
    <w:uiPriority w:val="9"/>
    <w:semiHidden/>
    <w:rsid w:val="001E6E93"/>
    <w:rPr>
      <w:rFonts w:asciiTheme="minorHAnsi" w:hAnsiTheme="minorHAnsi" w:eastAsiaTheme="majorEastAsia" w:cstheme="majorBidi"/>
      <w:color w:val="2F5496" w:themeColor="accent1" w:themeShade="BF"/>
      <w:sz w:val="28"/>
      <w:szCs w:val="28"/>
    </w:rPr>
  </w:style>
  <w:style w:type="character" w:styleId="Nagwek4Znak" w:customStyle="1">
    <w:name w:val="Nagłówek 4 Znak"/>
    <w:basedOn w:val="Domylnaczcionkaakapitu"/>
    <w:link w:val="Nagwek4"/>
    <w:uiPriority w:val="9"/>
    <w:semiHidden/>
    <w:rsid w:val="001E6E93"/>
    <w:rPr>
      <w:rFonts w:asciiTheme="minorHAnsi" w:hAnsiTheme="minorHAnsi" w:eastAsiaTheme="majorEastAsia" w:cstheme="majorBidi"/>
      <w:i/>
      <w:iCs/>
      <w:color w:val="2F5496" w:themeColor="accent1" w:themeShade="BF"/>
    </w:rPr>
  </w:style>
  <w:style w:type="character" w:styleId="Nagwek5Znak" w:customStyle="1">
    <w:name w:val="Nagłówek 5 Znak"/>
    <w:basedOn w:val="Domylnaczcionkaakapitu"/>
    <w:link w:val="Nagwek5"/>
    <w:uiPriority w:val="9"/>
    <w:semiHidden/>
    <w:rsid w:val="001E6E93"/>
    <w:rPr>
      <w:rFonts w:asciiTheme="minorHAnsi" w:hAnsiTheme="minorHAnsi" w:eastAsiaTheme="majorEastAsia" w:cstheme="majorBidi"/>
      <w:color w:val="2F5496" w:themeColor="accent1" w:themeShade="BF"/>
    </w:rPr>
  </w:style>
  <w:style w:type="character" w:styleId="Nagwek6Znak" w:customStyle="1">
    <w:name w:val="Nagłówek 6 Znak"/>
    <w:basedOn w:val="Domylnaczcionkaakapitu"/>
    <w:link w:val="Nagwek6"/>
    <w:uiPriority w:val="9"/>
    <w:semiHidden/>
    <w:rsid w:val="001E6E93"/>
    <w:rPr>
      <w:rFonts w:asciiTheme="minorHAnsi" w:hAnsiTheme="minorHAnsi" w:eastAsiaTheme="majorEastAsia" w:cstheme="majorBidi"/>
      <w:i/>
      <w:iCs/>
      <w:color w:val="595959" w:themeColor="text1" w:themeTint="A6"/>
    </w:rPr>
  </w:style>
  <w:style w:type="character" w:styleId="Nagwek7Znak" w:customStyle="1">
    <w:name w:val="Nagłówek 7 Znak"/>
    <w:basedOn w:val="Domylnaczcionkaakapitu"/>
    <w:link w:val="Nagwek7"/>
    <w:uiPriority w:val="9"/>
    <w:semiHidden/>
    <w:rsid w:val="001E6E93"/>
    <w:rPr>
      <w:rFonts w:asciiTheme="minorHAnsi" w:hAnsiTheme="minorHAnsi" w:eastAsiaTheme="majorEastAsia" w:cstheme="majorBidi"/>
      <w:color w:val="595959" w:themeColor="text1" w:themeTint="A6"/>
    </w:rPr>
  </w:style>
  <w:style w:type="character" w:styleId="Nagwek8Znak" w:customStyle="1">
    <w:name w:val="Nagłówek 8 Znak"/>
    <w:basedOn w:val="Domylnaczcionkaakapitu"/>
    <w:link w:val="Nagwek8"/>
    <w:uiPriority w:val="9"/>
    <w:semiHidden/>
    <w:rsid w:val="001E6E93"/>
    <w:rPr>
      <w:rFonts w:asciiTheme="minorHAnsi" w:hAnsiTheme="minorHAnsi" w:eastAsiaTheme="majorEastAsia" w:cstheme="majorBidi"/>
      <w:i/>
      <w:iCs/>
      <w:color w:val="272727" w:themeColor="text1" w:themeTint="D8"/>
    </w:rPr>
  </w:style>
  <w:style w:type="character" w:styleId="Nagwek9Znak" w:customStyle="1">
    <w:name w:val="Nagłówek 9 Znak"/>
    <w:basedOn w:val="Domylnaczcionkaakapitu"/>
    <w:link w:val="Nagwek9"/>
    <w:uiPriority w:val="9"/>
    <w:semiHidden/>
    <w:rsid w:val="001E6E93"/>
    <w:rPr>
      <w:rFonts w:asciiTheme="minorHAnsi" w:hAnsiTheme="minorHAnsi" w:eastAsiaTheme="majorEastAsia" w:cstheme="majorBidi"/>
      <w:color w:val="272727" w:themeColor="text1" w:themeTint="D8"/>
    </w:rPr>
  </w:style>
  <w:style w:type="paragraph" w:styleId="Tytu">
    <w:name w:val="Title"/>
    <w:basedOn w:val="Normalny"/>
    <w:next w:val="Normalny"/>
    <w:link w:val="TytuZnak"/>
    <w:uiPriority w:val="10"/>
    <w:qFormat/>
    <w:rsid w:val="001E6E93"/>
    <w:pPr>
      <w:spacing w:after="80" w:line="240" w:lineRule="auto"/>
      <w:contextualSpacing/>
    </w:pPr>
    <w:rPr>
      <w:rFonts w:asciiTheme="majorHAnsi" w:hAnsiTheme="majorHAnsi" w:eastAsiaTheme="majorEastAsia" w:cstheme="majorBidi"/>
      <w:spacing w:val="-10"/>
      <w:kern w:val="28"/>
      <w:sz w:val="56"/>
      <w:szCs w:val="56"/>
    </w:rPr>
  </w:style>
  <w:style w:type="character" w:styleId="TytuZnak" w:customStyle="1">
    <w:name w:val="Tytuł Znak"/>
    <w:basedOn w:val="Domylnaczcionkaakapitu"/>
    <w:link w:val="Tytu"/>
    <w:uiPriority w:val="10"/>
    <w:rsid w:val="001E6E93"/>
    <w:rPr>
      <w:rFonts w:asciiTheme="majorHAnsi" w:hAnsiTheme="majorHAnsi" w:eastAsiaTheme="majorEastAsia" w:cstheme="majorBidi"/>
      <w:spacing w:val="-10"/>
      <w:kern w:val="28"/>
      <w:sz w:val="56"/>
      <w:szCs w:val="56"/>
    </w:rPr>
  </w:style>
  <w:style w:type="paragraph" w:styleId="Podtytu">
    <w:name w:val="Subtitle"/>
    <w:basedOn w:val="Normalny"/>
    <w:next w:val="Normalny"/>
    <w:link w:val="PodtytuZnak"/>
    <w:uiPriority w:val="11"/>
    <w:qFormat/>
    <w:rsid w:val="001E6E93"/>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PodtytuZnak" w:customStyle="1">
    <w:name w:val="Podtytuł Znak"/>
    <w:basedOn w:val="Domylnaczcionkaakapitu"/>
    <w:link w:val="Podtytu"/>
    <w:uiPriority w:val="11"/>
    <w:rsid w:val="001E6E93"/>
    <w:rPr>
      <w:rFonts w:asciiTheme="minorHAnsi" w:hAnsiTheme="minorHAnsi"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E6E93"/>
    <w:pPr>
      <w:spacing w:before="160" w:after="160"/>
      <w:jc w:val="center"/>
    </w:pPr>
    <w:rPr>
      <w:i/>
      <w:iCs/>
      <w:color w:val="404040" w:themeColor="text1" w:themeTint="BF"/>
    </w:rPr>
  </w:style>
  <w:style w:type="character" w:styleId="CytatZnak" w:customStyle="1">
    <w:name w:val="Cytat Znak"/>
    <w:basedOn w:val="Domylnaczcionkaakapitu"/>
    <w:link w:val="Cytat"/>
    <w:uiPriority w:val="29"/>
    <w:rsid w:val="001E6E93"/>
    <w:rPr>
      <w:i/>
      <w:iCs/>
      <w:color w:val="404040" w:themeColor="text1" w:themeTint="BF"/>
    </w:rPr>
  </w:style>
  <w:style w:type="paragraph" w:styleId="Akapitzlist">
    <w:name w:val="List Paragraph"/>
    <w:basedOn w:val="Normalny"/>
    <w:uiPriority w:val="34"/>
    <w:qFormat/>
    <w:rsid w:val="001E6E93"/>
    <w:pPr>
      <w:ind w:left="720"/>
      <w:contextualSpacing/>
    </w:pPr>
  </w:style>
  <w:style w:type="character" w:styleId="Wyrnienieintensywne">
    <w:name w:val="Intense Emphasis"/>
    <w:basedOn w:val="Domylnaczcionkaakapitu"/>
    <w:uiPriority w:val="21"/>
    <w:qFormat/>
    <w:rsid w:val="001E6E93"/>
    <w:rPr>
      <w:i/>
      <w:iCs/>
      <w:color w:val="2F5496" w:themeColor="accent1" w:themeShade="BF"/>
    </w:rPr>
  </w:style>
  <w:style w:type="paragraph" w:styleId="Cytatintensywny">
    <w:name w:val="Intense Quote"/>
    <w:basedOn w:val="Normalny"/>
    <w:next w:val="Normalny"/>
    <w:link w:val="CytatintensywnyZnak"/>
    <w:uiPriority w:val="30"/>
    <w:qFormat/>
    <w:rsid w:val="001E6E9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ytatintensywnyZnak" w:customStyle="1">
    <w:name w:val="Cytat intensywny Znak"/>
    <w:basedOn w:val="Domylnaczcionkaakapitu"/>
    <w:link w:val="Cytatintensywny"/>
    <w:uiPriority w:val="30"/>
    <w:rsid w:val="001E6E93"/>
    <w:rPr>
      <w:i/>
      <w:iCs/>
      <w:color w:val="2F5496" w:themeColor="accent1" w:themeShade="BF"/>
    </w:rPr>
  </w:style>
  <w:style w:type="character" w:styleId="Odwoanieintensywne">
    <w:name w:val="Intense Reference"/>
    <w:basedOn w:val="Domylnaczcionkaakapitu"/>
    <w:uiPriority w:val="32"/>
    <w:qFormat/>
    <w:rsid w:val="001E6E93"/>
    <w:rPr>
      <w:b/>
      <w:bCs/>
      <w:smallCaps/>
      <w:color w:val="2F5496" w:themeColor="accent1" w:themeShade="BF"/>
      <w:spacing w:val="5"/>
    </w:rPr>
  </w:style>
  <w:style w:type="character" w:styleId="Pogrubienie">
    <w:name w:val="Strong"/>
    <w:basedOn w:val="Domylnaczcionkaakapitu"/>
    <w:uiPriority w:val="22"/>
    <w:qFormat/>
    <w:rsid w:val="001E6E93"/>
    <w:rPr>
      <w:b/>
      <w:bCs/>
    </w:rPr>
  </w:style>
  <w:style w:type="character" w:styleId="Uwydatnienie">
    <w:name w:val="Emphasis"/>
    <w:basedOn w:val="Domylnaczcionkaakapitu"/>
    <w:uiPriority w:val="20"/>
    <w:qFormat/>
    <w:rsid w:val="001E6E93"/>
    <w:rPr>
      <w:i/>
      <w:iCs/>
    </w:rPr>
  </w:style>
  <w:style w:type="character" w:styleId="Hipercze">
    <w:name w:val="Hyperlink"/>
    <w:basedOn w:val="Domylnaczcionkaakapitu"/>
    <w:uiPriority w:val="99"/>
    <w:unhideWhenUsed/>
    <w:rsid w:val="001E6E93"/>
    <w:rPr>
      <w:color w:val="0000FF"/>
      <w:u w:val="single"/>
    </w:rPr>
  </w:style>
  <w:style w:type="character" w:styleId="UnresolvedMention" w:customStyle="1">
    <w:name w:val="Unresolved Mention"/>
    <w:basedOn w:val="Domylnaczcionkaakapitu"/>
    <w:uiPriority w:val="99"/>
    <w:semiHidden/>
    <w:unhideWhenUsed/>
    <w:rsid w:val="001E6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78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1D5DA14C40FA845AAE167666D5B8747" ma:contentTypeVersion="4" ma:contentTypeDescription="Utwórz nowy dokument." ma:contentTypeScope="" ma:versionID="345882ac42d14dd736496c3790c963a0">
  <xsd:schema xmlns:xsd="http://www.w3.org/2001/XMLSchema" xmlns:xs="http://www.w3.org/2001/XMLSchema" xmlns:p="http://schemas.microsoft.com/office/2006/metadata/properties" xmlns:ns2="43943500-33dc-4439-8b58-61248f290f73" targetNamespace="http://schemas.microsoft.com/office/2006/metadata/properties" ma:root="true" ma:fieldsID="244ac4f2c6e2743aa90406dd997bc6ba" ns2:_="">
    <xsd:import namespace="43943500-33dc-4439-8b58-61248f290f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943500-33dc-4439-8b58-61248f290f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4676EF-0323-401D-B634-BE212D50553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34B91D-DB6F-4DDE-8521-7A2BF43C0630}">
  <ds:schemaRefs>
    <ds:schemaRef ds:uri="http://schemas.microsoft.com/sharepoint/v3/contenttype/forms"/>
  </ds:schemaRefs>
</ds:datastoreItem>
</file>

<file path=customXml/itemProps3.xml><?xml version="1.0" encoding="utf-8"?>
<ds:datastoreItem xmlns:ds="http://schemas.openxmlformats.org/officeDocument/2006/customXml" ds:itemID="{D545D892-C283-4DA7-A2FD-F56DF3E9E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943500-33dc-4439-8b58-61248f290f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Mariya Kuzyan</dc:creator>
  <keywords/>
  <dc:description/>
  <lastModifiedBy>Ludmiła Zając-Lamparska</lastModifiedBy>
  <revision>4</revision>
  <dcterms:created xsi:type="dcterms:W3CDTF">2025-04-12T10:03:00.0000000Z</dcterms:created>
  <dcterms:modified xsi:type="dcterms:W3CDTF">2025-04-23T11:30:10.8589299Z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0x010100F1D5DA14C40FA845AAE167666D5B8747</vt:lpwstr>
  </property>
</Properties>
</file>