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21C" w:rsidRDefault="00882F43">
      <w:pPr>
        <w:pStyle w:val="Normalny1"/>
        <w:spacing w:after="120"/>
        <w:jc w:val="center"/>
        <w:rPr>
          <w:b/>
          <w:bCs/>
          <w:color w:val="000000"/>
        </w:rPr>
      </w:pPr>
      <w:r>
        <w:rPr>
          <w:b/>
          <w:bCs/>
          <w:color w:val="000000"/>
        </w:rPr>
        <w:t>Blaski i cienie pomagania, czyli wtórna traumatyzacja i wtórny wzrost potraumatyczny wśród przedstawicieli różnych grup zawodowych – przegląd narzędzi</w:t>
      </w:r>
    </w:p>
    <w:p w:rsidR="002B121C" w:rsidRDefault="00882F43">
      <w:pPr>
        <w:rPr>
          <w:rFonts w:eastAsia="Calibri"/>
          <w:sz w:val="28"/>
          <w:szCs w:val="28"/>
          <w:vertAlign w:val="superscript"/>
        </w:rPr>
      </w:pPr>
      <w:proofErr w:type="spellStart"/>
      <w:r>
        <w:rPr>
          <w:rFonts w:eastAsia="Calibri"/>
          <w:sz w:val="28"/>
          <w:szCs w:val="28"/>
          <w:vertAlign w:val="superscript"/>
        </w:rPr>
        <w:t>Polish</w:t>
      </w:r>
      <w:proofErr w:type="spellEnd"/>
      <w:r>
        <w:rPr>
          <w:rFonts w:eastAsia="Calibri"/>
          <w:sz w:val="28"/>
          <w:szCs w:val="28"/>
          <w:vertAlign w:val="superscript"/>
        </w:rPr>
        <w:t xml:space="preserve"> Psychological Forum/Polskie Forum Psychologiczne 2025, tom 30, numer 4, s.</w:t>
      </w:r>
    </w:p>
    <w:p w:rsidR="002B121C" w:rsidRPr="00D058CA" w:rsidRDefault="007F2BA2">
      <w:pPr>
        <w:jc w:val="both"/>
        <w:rPr>
          <w:rFonts w:eastAsia="Calibri"/>
          <w:vertAlign w:val="superscript"/>
        </w:rPr>
      </w:pPr>
      <w:r w:rsidRPr="007F2BA2">
        <w:rPr>
          <w:rFonts w:eastAsia="Calibri"/>
          <w:vertAlign w:val="superscript"/>
        </w:rPr>
        <w:t xml:space="preserve">DOI: </w:t>
      </w:r>
      <w:r w:rsidR="008D66ED" w:rsidRPr="008D66ED">
        <w:rPr>
          <w:rFonts w:eastAsia="Calibri"/>
          <w:vertAlign w:val="superscript"/>
        </w:rPr>
        <w:t>10.34767/PFP.2025.04.02</w:t>
      </w:r>
    </w:p>
    <w:p w:rsidR="002B121C" w:rsidRDefault="00882F43" w:rsidP="00DB022F">
      <w:pPr>
        <w:pStyle w:val="Normalny1"/>
        <w:spacing w:afterLines="100"/>
        <w:jc w:val="both"/>
        <w:rPr>
          <w:b/>
        </w:rPr>
      </w:pPr>
      <w:r>
        <w:rPr>
          <w:b/>
        </w:rPr>
        <w:t xml:space="preserve">Streszczenie: Wprowadzenie: </w:t>
      </w:r>
      <w:r>
        <w:t>W ostatnich latach coraz wyraźniej zauważalny jest wzrost zainteresowania zawodami pomocowymi, które wymagają stałego kontaktu z osobami doświadczającymi cierpienia, strat oraz wydarzeń traumatycznych. Pr</w:t>
      </w:r>
      <w:r>
        <w:t xml:space="preserve">aca w takich warunkach wiąże się z pośrednią ekspozycją na traumę, co może prowadzić do rozwoju objawów wtórnego stresu pourazowego, obejmujących przeżywanie emocji i reakcji podobnych do tych obserwowanych u osób bezpośrednio </w:t>
      </w:r>
      <w:proofErr w:type="spellStart"/>
      <w:r>
        <w:t>straumatyzowanych</w:t>
      </w:r>
      <w:proofErr w:type="spellEnd"/>
      <w:r>
        <w:t>. Jednocześn</w:t>
      </w:r>
      <w:r>
        <w:t xml:space="preserve">ie towarzyszenie osobom w trudnych sytuacjach życiowych może stać się źródłem satysfakcji i sprzyjać osobistemu rozwojowi, określanemu mianem wtórnego wzrostu potraumatycznego. </w:t>
      </w:r>
      <w:r>
        <w:rPr>
          <w:b/>
        </w:rPr>
        <w:t xml:space="preserve">Materiał i metody: </w:t>
      </w:r>
      <w:r>
        <w:t>Artykuł stanowi przegląd literatury dotyczącej zjawisk STS i</w:t>
      </w:r>
      <w:r>
        <w:t xml:space="preserve"> SPG w kontekście zawodów pomocowych, ze szczególnym uwzględnieniem narzędzi diagnostycznych stosowanych do ich pomiaru. Analizie poddano zarówno skale zagraniczne (np. STSS, </w:t>
      </w:r>
      <w:proofErr w:type="spellStart"/>
      <w:r>
        <w:t>ProQOL</w:t>
      </w:r>
      <w:proofErr w:type="spellEnd"/>
      <w:r>
        <w:t>, PTGI, VRS), jak i polskie adaptacje i autorskie narzędzia (np. IPR, IWST,</w:t>
      </w:r>
      <w:r>
        <w:t xml:space="preserve"> IWWP, CPOTS). Omówiono ich trafność, rzetelność, ograniczenia, a także znaczenie adaptacji kulturowej. Podkreślono również potrzebę odróżnienia wtórnej traumatyzacji od zjawisk pokrewnych, takich jak wypalenie zawodowe czy zmęczenie współczuciem. </w:t>
      </w:r>
      <w:r>
        <w:rPr>
          <w:b/>
        </w:rPr>
        <w:t>Wnioski:</w:t>
      </w:r>
      <w:r>
        <w:rPr>
          <w:b/>
        </w:rPr>
        <w:t xml:space="preserve"> </w:t>
      </w:r>
      <w:r>
        <w:t>Dostępne narzędzia diagnostyczne umożliwiają ocenę nasilenia obu zjawisk, choć różnią się zakresem i trafnością pomiaru. Uporządkowanie i porównanie tych metod pozwala na lepsze monitorowanie obciążeń psychicznych, a także sprzyja opracowywaniu działań pr</w:t>
      </w:r>
      <w:r>
        <w:t>ofilaktycznych i wspierających osoby pracujące w zawodach pomocowych. Konieczne są dalsze badania nad czynnikami ryzyka i zasobami sprzyjającymi wzrostowi, aby skuteczniej wspierać rozwój zawodowy i osobisty osób narażonych na kontakt z traumą.</w:t>
      </w:r>
    </w:p>
    <w:p w:rsidR="00000000" w:rsidRDefault="00882F43">
      <w:pPr>
        <w:pStyle w:val="Normalny1"/>
        <w:spacing w:before="240" w:after="240"/>
        <w:jc w:val="both"/>
        <w:rPr>
          <w:b/>
          <w:bCs/>
        </w:rPr>
      </w:pPr>
      <w:r>
        <w:rPr>
          <w:b/>
        </w:rPr>
        <w:t>Słowa klucz</w:t>
      </w:r>
      <w:r>
        <w:rPr>
          <w:b/>
        </w:rPr>
        <w:t>owe:</w:t>
      </w:r>
      <w:r>
        <w:t xml:space="preserve"> wtórny stres potraumatyczny, wtórny wzrost potraumatyczny, zawody pomocowe, narzędzia diagnostyczne</w:t>
      </w:r>
    </w:p>
    <w:p w:rsidR="00000000" w:rsidRDefault="00882F43" w:rsidP="00DB022F">
      <w:pPr>
        <w:pStyle w:val="Normalny1"/>
        <w:spacing w:afterLines="100"/>
        <w:jc w:val="center"/>
        <w:rPr>
          <w:b/>
          <w:bCs/>
        </w:rPr>
      </w:pPr>
    </w:p>
    <w:p w:rsidR="00000000" w:rsidRDefault="00882F43" w:rsidP="00DB022F">
      <w:pPr>
        <w:pStyle w:val="Normalny1"/>
        <w:spacing w:afterLines="100"/>
        <w:jc w:val="center"/>
        <w:rPr>
          <w:b/>
          <w:bCs/>
        </w:rPr>
      </w:pPr>
    </w:p>
    <w:p w:rsidR="00000000" w:rsidRDefault="00882F43" w:rsidP="00DB022F">
      <w:pPr>
        <w:pStyle w:val="Normalny1"/>
        <w:spacing w:afterLines="100"/>
        <w:jc w:val="center"/>
        <w:rPr>
          <w:b/>
          <w:bCs/>
        </w:rPr>
      </w:pPr>
    </w:p>
    <w:p w:rsidR="002B121C" w:rsidRPr="00D058CA" w:rsidRDefault="007F2BA2" w:rsidP="00DB022F">
      <w:pPr>
        <w:pStyle w:val="Normalny1"/>
        <w:spacing w:afterLines="100"/>
        <w:jc w:val="center"/>
        <w:rPr>
          <w:b/>
          <w:lang w:val="en-GB"/>
        </w:rPr>
      </w:pPr>
      <w:r w:rsidRPr="007F2BA2">
        <w:rPr>
          <w:b/>
          <w:bCs/>
          <w:lang w:val="en-GB"/>
        </w:rPr>
        <w:lastRenderedPageBreak/>
        <w:t xml:space="preserve">The bright and dark side of helping: secondary traumatisation </w:t>
      </w:r>
      <w:r w:rsidRPr="007F2BA2">
        <w:rPr>
          <w:b/>
          <w:bCs/>
          <w:lang w:val="en-GB"/>
        </w:rPr>
        <w:br/>
        <w:t xml:space="preserve">and posttraumatic growth among representatives of various professional groups </w:t>
      </w:r>
      <w:r w:rsidRPr="007F2BA2">
        <w:rPr>
          <w:b/>
          <w:bCs/>
          <w:lang w:val="en-GB"/>
        </w:rPr>
        <w:br/>
      </w:r>
      <w:r w:rsidRPr="007F2BA2">
        <w:rPr>
          <w:b/>
          <w:bCs/>
          <w:color w:val="000000"/>
          <w:lang w:val="en-GB"/>
        </w:rPr>
        <w:t>–</w:t>
      </w:r>
      <w:r w:rsidRPr="007F2BA2">
        <w:rPr>
          <w:b/>
          <w:bCs/>
          <w:lang w:val="en-GB"/>
        </w:rPr>
        <w:t xml:space="preserve"> a review of assessment tools</w:t>
      </w:r>
    </w:p>
    <w:p w:rsidR="002B121C" w:rsidRPr="00D058CA" w:rsidRDefault="007F2BA2" w:rsidP="00DB022F">
      <w:pPr>
        <w:pStyle w:val="Normalny1"/>
        <w:spacing w:afterLines="100"/>
        <w:jc w:val="both"/>
        <w:rPr>
          <w:lang w:val="en-GB"/>
        </w:rPr>
      </w:pPr>
      <w:r w:rsidRPr="007F2BA2">
        <w:rPr>
          <w:b/>
          <w:lang w:val="en-GB"/>
        </w:rPr>
        <w:t>Summary: Introduction:</w:t>
      </w:r>
      <w:r w:rsidRPr="007F2BA2">
        <w:rPr>
          <w:lang w:val="en-GB"/>
        </w:rPr>
        <w:t xml:space="preserve"> In recent years, there has been a growing interest in helping professions, which require constant contact with individuals experiencing suffering, loss, and traumatic events. Working under such conditions involves indirect exposure to trauma, which can lead to the development of secondary traumatic stress (STS) symptoms, including emotional and </w:t>
      </w:r>
      <w:proofErr w:type="spellStart"/>
      <w:r w:rsidRPr="007F2BA2">
        <w:rPr>
          <w:lang w:val="en-GB"/>
        </w:rPr>
        <w:t>behavioral</w:t>
      </w:r>
      <w:proofErr w:type="spellEnd"/>
      <w:r w:rsidRPr="007F2BA2">
        <w:rPr>
          <w:lang w:val="en-GB"/>
        </w:rPr>
        <w:t xml:space="preserve"> reactions similar to those observed in directly traumatized individuals. At the same time, supporting people in difficult life situations can be a source of professional satisfaction and promote personal growth, referred to as secondary posttraumatic growth (SPG). </w:t>
      </w:r>
      <w:r w:rsidRPr="007F2BA2">
        <w:rPr>
          <w:b/>
          <w:lang w:val="en-GB"/>
        </w:rPr>
        <w:t>Material and Methods:</w:t>
      </w:r>
      <w:r w:rsidRPr="007F2BA2">
        <w:rPr>
          <w:lang w:val="en-GB"/>
        </w:rPr>
        <w:t xml:space="preserve"> This article presents a literature review on STS and SPG in the context of helping professions, with a particular focus on the diagnostic tools used to measure these phenomena. Both international scales (e.g., STSS, </w:t>
      </w:r>
      <w:proofErr w:type="spellStart"/>
      <w:r w:rsidRPr="007F2BA2">
        <w:rPr>
          <w:lang w:val="en-GB"/>
        </w:rPr>
        <w:t>ProQOL</w:t>
      </w:r>
      <w:proofErr w:type="spellEnd"/>
      <w:r w:rsidRPr="007F2BA2">
        <w:rPr>
          <w:lang w:val="en-GB"/>
        </w:rPr>
        <w:t xml:space="preserve">, PTGI, VRS) and Polish adaptations and proprietary instruments (e.g., IPR, IWST, IWWP, CPOTS) were analyzed. Their validity, reliability, limitations, and the importance of cultural adaptation were discussed. The review also emphasizes the need to distinguish secondary traumatic stress from related phenomena such as burnout or compassion fatigue. </w:t>
      </w:r>
      <w:r w:rsidRPr="007F2BA2">
        <w:rPr>
          <w:b/>
          <w:lang w:val="en-GB"/>
        </w:rPr>
        <w:t xml:space="preserve">Conclusions: </w:t>
      </w:r>
      <w:r w:rsidRPr="007F2BA2">
        <w:rPr>
          <w:lang w:val="en-GB"/>
        </w:rPr>
        <w:t>Available diagnostic tools allow for the assessment of the intensity of both phenomena, though they differ in scope and measurement accuracy. Organizing and comparing these methods enables better monitoring of psychological burdens and supports the development of preventive and supportive interventions for professionals in helping roles. Further research is needed on risk factors and resources promoting posttraumatic growth to more effectively support the professional and personal development of individuals exposed to trauma.</w:t>
      </w:r>
    </w:p>
    <w:p w:rsidR="00000000" w:rsidRDefault="007F2BA2" w:rsidP="00DB022F">
      <w:pPr>
        <w:pStyle w:val="Normalny1"/>
        <w:spacing w:afterLines="100"/>
        <w:jc w:val="both"/>
        <w:rPr>
          <w:lang w:val="en-GB"/>
        </w:rPr>
      </w:pPr>
      <w:r w:rsidRPr="007F2BA2">
        <w:rPr>
          <w:b/>
          <w:lang w:val="en-GB"/>
        </w:rPr>
        <w:t xml:space="preserve">Key words: </w:t>
      </w:r>
      <w:r w:rsidRPr="007F2BA2">
        <w:rPr>
          <w:lang w:val="en-GB"/>
        </w:rPr>
        <w:t>secondary traumatic stress, secondary posttraumatic growth, helping professions, diagnostic tools, resilience</w:t>
      </w:r>
    </w:p>
    <w:p w:rsidR="002B121C" w:rsidRPr="005C7F87" w:rsidRDefault="00882F43">
      <w:r w:rsidRPr="005C7F87">
        <w:rPr>
          <w:vertAlign w:val="superscript"/>
        </w:rPr>
        <w:t>1</w:t>
      </w:r>
      <w:r w:rsidRPr="005C7F87">
        <w:t xml:space="preserve"> Karolina Szatkowska</w:t>
      </w:r>
    </w:p>
    <w:p w:rsidR="00D235E7" w:rsidRPr="00D235E7" w:rsidRDefault="00D235E7" w:rsidP="00D235E7">
      <w:pPr>
        <w:rPr>
          <w:bCs/>
        </w:rPr>
      </w:pPr>
      <w:r w:rsidRPr="00D235E7">
        <w:rPr>
          <w:bCs/>
        </w:rPr>
        <w:t>Uniwersytet Kazimierza Wielkiego w Bydgoszczy, Wydział Psychologii</w:t>
      </w:r>
    </w:p>
    <w:p w:rsidR="002B121C" w:rsidRPr="00D058CA" w:rsidRDefault="007F2BA2">
      <w:pPr>
        <w:rPr>
          <w:lang w:val="en-GB"/>
        </w:rPr>
      </w:pPr>
      <w:r w:rsidRPr="007F2BA2">
        <w:rPr>
          <w:lang w:val="en-GB"/>
        </w:rPr>
        <w:t>ORCID: 0000-0002-5572-9355</w:t>
      </w:r>
    </w:p>
    <w:p w:rsidR="00000000" w:rsidRDefault="00882F43" w:rsidP="00DB022F">
      <w:pPr>
        <w:spacing w:afterLines="100"/>
        <w:rPr>
          <w:lang w:val="en-GB"/>
        </w:rPr>
      </w:pPr>
      <w:r>
        <w:rPr>
          <w:lang w:val="en-GB"/>
        </w:rPr>
        <w:t>e-mail:</w:t>
      </w:r>
      <w:r w:rsidR="007F2BA2" w:rsidRPr="007F2BA2">
        <w:rPr>
          <w:lang w:val="en-GB"/>
        </w:rPr>
        <w:t xml:space="preserve"> </w:t>
      </w:r>
      <w:hyperlink r:id="rId8" w:history="1">
        <w:r w:rsidR="007F2BA2" w:rsidRPr="007F2BA2">
          <w:rPr>
            <w:rStyle w:val="Hipercze"/>
            <w:lang w:val="en-GB"/>
          </w:rPr>
          <w:t>szatkowska_karolina@wp.pl</w:t>
        </w:r>
      </w:hyperlink>
    </w:p>
    <w:p w:rsidR="00000000" w:rsidRDefault="00882F43" w:rsidP="00DB022F">
      <w:pPr>
        <w:spacing w:afterLines="100"/>
        <w:rPr>
          <w:lang w:val="en-GB"/>
        </w:rPr>
      </w:pPr>
    </w:p>
    <w:p w:rsidR="00000000" w:rsidRDefault="00882F43" w:rsidP="00DB022F">
      <w:pPr>
        <w:spacing w:afterLines="100"/>
        <w:rPr>
          <w:vertAlign w:val="superscript"/>
          <w:lang w:val="en-GB"/>
        </w:rPr>
      </w:pPr>
    </w:p>
    <w:p w:rsidR="002B121C" w:rsidRPr="005C7F87" w:rsidRDefault="00882F43">
      <w:r w:rsidRPr="005C7F87">
        <w:rPr>
          <w:vertAlign w:val="superscript"/>
        </w:rPr>
        <w:lastRenderedPageBreak/>
        <w:t>2</w:t>
      </w:r>
      <w:r w:rsidRPr="005C7F87">
        <w:t xml:space="preserve"> Klaudia </w:t>
      </w:r>
      <w:proofErr w:type="spellStart"/>
      <w:r w:rsidRPr="005C7F87">
        <w:t>Mamełka</w:t>
      </w:r>
      <w:proofErr w:type="spellEnd"/>
    </w:p>
    <w:p w:rsidR="00D235E7" w:rsidRPr="00D235E7" w:rsidRDefault="00D235E7" w:rsidP="00D235E7">
      <w:pPr>
        <w:rPr>
          <w:bCs/>
        </w:rPr>
      </w:pPr>
      <w:r w:rsidRPr="00D235E7">
        <w:rPr>
          <w:bCs/>
        </w:rPr>
        <w:t>Uniwersytet Kazimierza Wielkiego w Bydgoszczy, Wydział Psychologii</w:t>
      </w:r>
    </w:p>
    <w:p w:rsidR="00000000" w:rsidRDefault="00882F43">
      <w:pPr>
        <w:rPr>
          <w:b/>
        </w:rPr>
      </w:pPr>
      <w:r>
        <w:t>ORCID: 0009-0000-8253-867X</w:t>
      </w:r>
    </w:p>
    <w:p w:rsidR="00000000" w:rsidRDefault="00882F43" w:rsidP="00DB022F">
      <w:pPr>
        <w:pStyle w:val="Normalny1"/>
        <w:spacing w:afterLines="100"/>
        <w:jc w:val="center"/>
        <w:rPr>
          <w:b/>
        </w:rPr>
      </w:pPr>
      <w:r>
        <w:rPr>
          <w:b/>
        </w:rPr>
        <w:t>Wprowadzenie</w:t>
      </w:r>
    </w:p>
    <w:p w:rsidR="002B121C" w:rsidRDefault="00882F43">
      <w:pPr>
        <w:pStyle w:val="Normalny1"/>
        <w:jc w:val="both"/>
      </w:pPr>
      <w:r>
        <w:t>Wśród wielu zawodów związanych z pracą z drugim człowiekiem, część nazywana jest zawodami pomocowymi, gdzie szczególną rolę odgrywa relacja między osobą udzielającą pomocy a jej odbiorcą. Należy do nich m.in. praca psychologów, terapeutów, lekarzy, pielęgn</w:t>
      </w:r>
      <w:r>
        <w:t>iarek, ratowników medycznych, policjantów czy pracowników socjalnych. Towarzyszenie pacjentom i osobom doznającym cierpienia staje się w pewien sposób ich zawodową codziennością. Z jednej strony pełnienie roli pomocowej wiąże się z nadawaniem sensu, poczuc</w:t>
      </w:r>
      <w:r>
        <w:t xml:space="preserve">iem spełnienia zawodowego i budowaniem znaczących relacji międzyludzkich. Z drugiej jednak strony, długotrwała ekspozycja na doświadczenia traumatyczne, cierpienie </w:t>
      </w:r>
      <w:r>
        <w:br/>
      </w:r>
      <w:r>
        <w:t>i bezradność innych może generować poważne konsekwencje (</w:t>
      </w:r>
      <w:proofErr w:type="spellStart"/>
      <w:r>
        <w:t>Figley</w:t>
      </w:r>
      <w:proofErr w:type="spellEnd"/>
      <w:r>
        <w:t xml:space="preserve">, 1995, 2002). </w:t>
      </w:r>
    </w:p>
    <w:p w:rsidR="002B121C" w:rsidRDefault="00882F43">
      <w:pPr>
        <w:pStyle w:val="Normalny1"/>
        <w:jc w:val="both"/>
      </w:pPr>
      <w:r>
        <w:tab/>
        <w:t>Jednym z ne</w:t>
      </w:r>
      <w:r>
        <w:t xml:space="preserve">gatywnych skutków towarzyszenia osobom przeżywającym zdarzenia traumatyczne jest zjawisko wtórnego stresu traumatycznego (ang. </w:t>
      </w:r>
      <w:proofErr w:type="spellStart"/>
      <w:r>
        <w:rPr>
          <w:i/>
        </w:rPr>
        <w:t>secondary</w:t>
      </w:r>
      <w:proofErr w:type="spellEnd"/>
      <w:r>
        <w:rPr>
          <w:i/>
        </w:rPr>
        <w:t xml:space="preserve"> </w:t>
      </w:r>
      <w:proofErr w:type="spellStart"/>
      <w:r>
        <w:rPr>
          <w:i/>
        </w:rPr>
        <w:t>traumatic</w:t>
      </w:r>
      <w:proofErr w:type="spellEnd"/>
      <w:r>
        <w:rPr>
          <w:i/>
        </w:rPr>
        <w:t xml:space="preserve"> stress</w:t>
      </w:r>
      <w:r>
        <w:t>, STS). Odnosi się ono do stanu, w którym osoby pomagające jednostkom po traumie same zaczynają przejaw</w:t>
      </w:r>
      <w:r>
        <w:t xml:space="preserve">iać symptomy zbliżone do zaburzeń potraumatycznych (APA, 2013). Mogą one obejmować m.in. intruzywne wspomnienia, unikanie bodźców kojarzących się </w:t>
      </w:r>
      <w:r>
        <w:br/>
      </w:r>
      <w:r>
        <w:t>z traumą, wzmożoną czujność, zaburzenia snu, a także poczucie bezradności. Pomimo braku bezpośredniego doświa</w:t>
      </w:r>
      <w:r>
        <w:t xml:space="preserve">dczenia traumy, to odczuwanie empatycznego zaangażowania </w:t>
      </w:r>
      <w:r>
        <w:br/>
      </w:r>
      <w:r>
        <w:t>w przeżycia drugiego człowieka stanowić może o procesie wtórnej traumatyzacji (</w:t>
      </w:r>
      <w:proofErr w:type="spellStart"/>
      <w:r>
        <w:t>Figley</w:t>
      </w:r>
      <w:proofErr w:type="spellEnd"/>
      <w:r>
        <w:t>, 1995). Jednakże praca z osobami cierpiącymi oraz przeżywającymi traumatyczne wydarzenia może sprzyjać również p</w:t>
      </w:r>
      <w:r>
        <w:t xml:space="preserve">ozytywnym konsekwencjom (Cohen i </w:t>
      </w:r>
      <w:proofErr w:type="spellStart"/>
      <w:r>
        <w:t>Collens</w:t>
      </w:r>
      <w:proofErr w:type="spellEnd"/>
      <w:r>
        <w:t xml:space="preserve">, 2013). Wyniki badań wskazują, że część specjalistów, pomimo obciążającej pracy pomocowej, przejawia wtórny wzrost potraumatyczny (ang. </w:t>
      </w:r>
      <w:proofErr w:type="spellStart"/>
      <w:r>
        <w:rPr>
          <w:i/>
        </w:rPr>
        <w:t>secondary</w:t>
      </w:r>
      <w:proofErr w:type="spellEnd"/>
      <w:r>
        <w:rPr>
          <w:i/>
        </w:rPr>
        <w:t xml:space="preserve"> </w:t>
      </w:r>
      <w:proofErr w:type="spellStart"/>
      <w:r>
        <w:rPr>
          <w:i/>
        </w:rPr>
        <w:t>posttraumatic</w:t>
      </w:r>
      <w:proofErr w:type="spellEnd"/>
      <w:r>
        <w:rPr>
          <w:i/>
        </w:rPr>
        <w:t xml:space="preserve"> growth</w:t>
      </w:r>
      <w:r>
        <w:t xml:space="preserve">, SPG; Ogińska-Bulik </w:t>
      </w:r>
      <w:r>
        <w:br/>
      </w:r>
      <w:r>
        <w:t xml:space="preserve">i </w:t>
      </w:r>
      <w:proofErr w:type="spellStart"/>
      <w:r>
        <w:t>Juczyński</w:t>
      </w:r>
      <w:proofErr w:type="spellEnd"/>
      <w:r>
        <w:t>, 2010). Zjawisk</w:t>
      </w:r>
      <w:r>
        <w:t>o to odnosi się do pozytywnych zmian w zakresie postrzegania siebie, innych ludzi i świata, jakie mogą pojawić się u profesjonalistów w wyniku obcowania z ludzką siłą, odpornością i zdolnością do przezwyciężania kryzysów i powrotu do równowagi psychofizycz</w:t>
      </w:r>
      <w:r>
        <w:t xml:space="preserve">nej (Tedeschi i Calhoun, 1996; </w:t>
      </w:r>
      <w:proofErr w:type="spellStart"/>
      <w:r>
        <w:t>Linley</w:t>
      </w:r>
      <w:proofErr w:type="spellEnd"/>
      <w:r>
        <w:t xml:space="preserve"> i Joseph, 2004). O takim wzroście świadczyć mogą: pogłębione poczucie sensu życia, rozwój mądrości życiowej </w:t>
      </w:r>
      <w:r>
        <w:br/>
      </w:r>
      <w:r>
        <w:t xml:space="preserve">i rozwój duchowy, dojrzalsze relacje interpersonalne czy wzmocnienie poczucia skuteczności w pracy zawodowej </w:t>
      </w:r>
      <w:r>
        <w:t xml:space="preserve">(Cohen i </w:t>
      </w:r>
      <w:proofErr w:type="spellStart"/>
      <w:r>
        <w:t>Collens</w:t>
      </w:r>
      <w:proofErr w:type="spellEnd"/>
      <w:r>
        <w:t xml:space="preserve">, 2013; Ogińska-Bulik i </w:t>
      </w:r>
      <w:proofErr w:type="spellStart"/>
      <w:r>
        <w:t>Juczyński</w:t>
      </w:r>
      <w:proofErr w:type="spellEnd"/>
      <w:r>
        <w:t>, 2010).</w:t>
      </w:r>
    </w:p>
    <w:p w:rsidR="002B121C" w:rsidRDefault="00882F43">
      <w:pPr>
        <w:pStyle w:val="Normalny1"/>
        <w:jc w:val="both"/>
      </w:pPr>
      <w:r>
        <w:lastRenderedPageBreak/>
        <w:tab/>
        <w:t>Zrozumienie obydwu procesów – wtórnego stresu traumatycznego i wtórnego wzrostu potraumatycznego – wydaje się kluczowe zarówno z perspektywy jednostkowej, jak i instytucjonalnej oraz społecznej. Za</w:t>
      </w:r>
      <w:r>
        <w:t xml:space="preserve">niedbywanie swojej kondycji psychicznej przez osoby profesjonalnie zajmujące się pomaganiem </w:t>
      </w:r>
      <w:r>
        <w:t xml:space="preserve">może prowadzić do wypalenia zawodowego, </w:t>
      </w:r>
      <w:r>
        <w:br/>
      </w:r>
      <w:r>
        <w:t>a w konsekwencji do obniżenia jakości świadczonych usług (</w:t>
      </w:r>
      <w:proofErr w:type="spellStart"/>
      <w:r>
        <w:t>Kristensen</w:t>
      </w:r>
      <w:proofErr w:type="spellEnd"/>
      <w:r>
        <w:t xml:space="preserve"> i in., 2005). </w:t>
      </w:r>
      <w:r>
        <w:br/>
      </w:r>
      <w:r>
        <w:t>Z drugiej strony, budowanie i wzmacnia</w:t>
      </w:r>
      <w:r>
        <w:t xml:space="preserve">nie zasobów sprzyjających wtórnemu wzrostowi może stanowić istotny element profilaktyki i budowania odporności psychicznej </w:t>
      </w:r>
      <w:r>
        <w:br/>
      </w:r>
      <w:r>
        <w:t xml:space="preserve">w środowiskach szczególnie narażonych na obcowanie z cierpieniem i traumą osób wspieranych (Joseph i </w:t>
      </w:r>
      <w:proofErr w:type="spellStart"/>
      <w:r>
        <w:t>Linley</w:t>
      </w:r>
      <w:proofErr w:type="spellEnd"/>
      <w:r>
        <w:t>, 2005).</w:t>
      </w:r>
    </w:p>
    <w:p w:rsidR="00000000" w:rsidRDefault="00882F43" w:rsidP="00DB022F">
      <w:pPr>
        <w:pStyle w:val="Normalny1"/>
        <w:spacing w:afterLines="100"/>
        <w:jc w:val="both"/>
      </w:pPr>
      <w:r>
        <w:tab/>
        <w:t>W niniejszym ar</w:t>
      </w:r>
      <w:r>
        <w:t>tykule dokonano przeglądu dostępnych narzędzi badawczych służących do pomiaru obu omawianych zjawisk wśród przedstawicieli różnych grup zawodowych. Analiza dostępnych metod diagnostycznych, wraz z uwzględnieniem ich mocnych i słabych stron, stanowi niezbęd</w:t>
      </w:r>
      <w:r>
        <w:t>ny krok w kierunku rzetelnego diagnozowania problemu oraz wdrażania skutecznych programów wsparcia i interwencji dla osób wykonujących zawody pomocowe.</w:t>
      </w:r>
    </w:p>
    <w:p w:rsidR="00000000" w:rsidRDefault="00882F43" w:rsidP="00DB022F">
      <w:pPr>
        <w:pStyle w:val="Normalny1"/>
        <w:spacing w:afterLines="100"/>
        <w:jc w:val="center"/>
        <w:rPr>
          <w:b/>
          <w:i/>
        </w:rPr>
      </w:pPr>
      <w:r>
        <w:rPr>
          <w:b/>
        </w:rPr>
        <w:t>Wtórny stres potraumatyczny</w:t>
      </w:r>
    </w:p>
    <w:p w:rsidR="00000000" w:rsidRDefault="00882F43">
      <w:pPr>
        <w:pStyle w:val="Normalny1"/>
        <w:jc w:val="both"/>
      </w:pPr>
      <w:r>
        <w:t>Wtórny stres traumatyczny, inaczej wtórna traumatyzacja jest procesem, w kt</w:t>
      </w:r>
      <w:r>
        <w:t>órym osoby profesjonalnie udzielające wsparcia ludziom dotkniętym traumą czy doświadczającym cierpienia, zaczynają przejawiać objawy zbliżone do zaburzeń stresu pourazowego (PTSD), mimo że same nie uczestniczyły bezpośredniego w zdarzeniu traumatycznego (A</w:t>
      </w:r>
      <w:r>
        <w:t xml:space="preserve">PA, 2013; </w:t>
      </w:r>
      <w:proofErr w:type="spellStart"/>
      <w:r>
        <w:t>Figley</w:t>
      </w:r>
      <w:proofErr w:type="spellEnd"/>
      <w:r>
        <w:t xml:space="preserve">, 1995). Kluczowym elementem mechanizmu tego zjawiska jest empatyczne zaangażowanie w zawodową relację pomocową. Zdaniem </w:t>
      </w:r>
      <w:proofErr w:type="spellStart"/>
      <w:r>
        <w:t>Figleya</w:t>
      </w:r>
      <w:proofErr w:type="spellEnd"/>
      <w:r>
        <w:t xml:space="preserve"> (2002), intensywne współodczuwanie emocji doświadczanych przez osobę wspieraną prowadzi do częściowego uwewnętr</w:t>
      </w:r>
      <w:r>
        <w:t>znienia jej przeżyć, co z kolei może wywoływać symptomy zbliżone klinicznie do PTSD. Profesjonaliści wspierający osoby straumatyzowane mogą – w wyniku prowadzenia procesu pomocowego – doświadczyć zachwiania równowagi psychofizycznej (</w:t>
      </w:r>
      <w:proofErr w:type="spellStart"/>
      <w:r>
        <w:t>Kubacka-Jasiecka</w:t>
      </w:r>
      <w:proofErr w:type="spellEnd"/>
      <w:r>
        <w:t>, 2010</w:t>
      </w:r>
      <w:r>
        <w:t xml:space="preserve">). Warto zauważyć, że mechanizm ujawnienia się STS u jednostki można wyjaśniać różnymi teoriami (Ogińska-Bulik i </w:t>
      </w:r>
      <w:proofErr w:type="spellStart"/>
      <w:r>
        <w:t>Juczyński</w:t>
      </w:r>
      <w:proofErr w:type="spellEnd"/>
      <w:r>
        <w:t>, 2020).</w:t>
      </w:r>
    </w:p>
    <w:p w:rsidR="00000000" w:rsidRDefault="00882F43">
      <w:pPr>
        <w:pStyle w:val="Normalny1"/>
        <w:jc w:val="both"/>
      </w:pPr>
      <w:r>
        <w:tab/>
        <w:t xml:space="preserve">Jedną z koncepcji wyjaśniających wtórny stres traumatyczny jest model transmisji traumy (ang. </w:t>
      </w:r>
      <w:r>
        <w:rPr>
          <w:i/>
        </w:rPr>
        <w:t xml:space="preserve">Trauma </w:t>
      </w:r>
      <w:proofErr w:type="spellStart"/>
      <w:r>
        <w:rPr>
          <w:i/>
        </w:rPr>
        <w:t>Transmission</w:t>
      </w:r>
      <w:proofErr w:type="spellEnd"/>
      <w:r>
        <w:rPr>
          <w:i/>
        </w:rPr>
        <w:t xml:space="preserve"> Model</w:t>
      </w:r>
      <w:r>
        <w:t>, TTM</w:t>
      </w:r>
      <w:r>
        <w:t xml:space="preserve">) autorstwa </w:t>
      </w:r>
      <w:proofErr w:type="spellStart"/>
      <w:r>
        <w:t>Figleya</w:t>
      </w:r>
      <w:proofErr w:type="spellEnd"/>
      <w:r>
        <w:t xml:space="preserve"> (1995). Autor zakłada, że transmisja traumy przebiega niejako w dwóch procesach. Pierwszy dotyczy kształtowania się stresu współczuciem, pojawiającym się z wyniku reakcji empatycznych wynikających </w:t>
      </w:r>
      <w:r>
        <w:br/>
      </w:r>
      <w:r>
        <w:lastRenderedPageBreak/>
        <w:t xml:space="preserve">z posiadanych zdolności empatycznych, </w:t>
      </w:r>
      <w:r>
        <w:t xml:space="preserve">przejawianego zaangażowania i empatycznej troski. Drugi zaś, pozwala zrozumieć, jak odczuwany stres przekształca się w zmęczenie współczuciem. W procesie tym istotną rolę odgrywają długotrwałe narażenie na kontakt </w:t>
      </w:r>
      <w:r>
        <w:br/>
      </w:r>
      <w:r>
        <w:t>z osobą straumatyzowaną i ujawniane przez</w:t>
      </w:r>
      <w:r>
        <w:t xml:space="preserve"> nią traumatyczne wspomnienia, które skutkują zakłóceniami w funkcjonowaniu różnych obszarach życia pomagającego profesjonalisty. Model TTM został następnie zrewidowany przez autora i nazwany modelem stresu współczucia i zmęczenia współczuciem (</w:t>
      </w:r>
      <w:proofErr w:type="spellStart"/>
      <w:r>
        <w:t>Figley</w:t>
      </w:r>
      <w:proofErr w:type="spellEnd"/>
      <w:r>
        <w:t>, 200</w:t>
      </w:r>
      <w:r>
        <w:t>2). W późniejszych latach zmodyfikowano go tworząc model odporności na zmęczenie współczuciem (ang.  </w:t>
      </w:r>
      <w:proofErr w:type="spellStart"/>
      <w:r>
        <w:rPr>
          <w:i/>
        </w:rPr>
        <w:t>Compassion</w:t>
      </w:r>
      <w:proofErr w:type="spellEnd"/>
      <w:r>
        <w:rPr>
          <w:i/>
        </w:rPr>
        <w:t xml:space="preserve"> </w:t>
      </w:r>
      <w:proofErr w:type="spellStart"/>
      <w:r>
        <w:rPr>
          <w:i/>
        </w:rPr>
        <w:t>Fatigue</w:t>
      </w:r>
      <w:proofErr w:type="spellEnd"/>
      <w:r>
        <w:rPr>
          <w:i/>
        </w:rPr>
        <w:t xml:space="preserve"> Resilience</w:t>
      </w:r>
      <w:r>
        <w:t>, CFR), uwzględniając czynniki sprzyjające odporności psychicznej i zmniejszającej nasilenie wtórnej traumatyzacji (</w:t>
      </w:r>
      <w:proofErr w:type="spellStart"/>
      <w:r>
        <w:t>Ludick</w:t>
      </w:r>
      <w:proofErr w:type="spellEnd"/>
      <w:r>
        <w:t xml:space="preserve"> i </w:t>
      </w:r>
      <w:proofErr w:type="spellStart"/>
      <w:r>
        <w:t>F</w:t>
      </w:r>
      <w:r>
        <w:t>igley</w:t>
      </w:r>
      <w:proofErr w:type="spellEnd"/>
      <w:r>
        <w:t xml:space="preserve">, 2016). Model ekologicznego wyjaśnienia traumy (ang. </w:t>
      </w:r>
      <w:proofErr w:type="spellStart"/>
      <w:r>
        <w:rPr>
          <w:i/>
        </w:rPr>
        <w:t>Ecological</w:t>
      </w:r>
      <w:proofErr w:type="spellEnd"/>
      <w:r>
        <w:rPr>
          <w:i/>
        </w:rPr>
        <w:t xml:space="preserve"> Framework of Trauma, </w:t>
      </w:r>
      <w:r>
        <w:t xml:space="preserve">EFT) autorstwa Mary </w:t>
      </w:r>
      <w:proofErr w:type="spellStart"/>
      <w:r>
        <w:t>Dutton</w:t>
      </w:r>
      <w:proofErr w:type="spellEnd"/>
      <w:r>
        <w:t xml:space="preserve"> i </w:t>
      </w:r>
      <w:proofErr w:type="spellStart"/>
      <w:r>
        <w:t>Francine</w:t>
      </w:r>
      <w:proofErr w:type="spellEnd"/>
      <w:r>
        <w:t xml:space="preserve"> Rubinstein (1995) również powstał w nawiązaniu do koncepcji </w:t>
      </w:r>
      <w:proofErr w:type="spellStart"/>
      <w:r>
        <w:t>Figleya</w:t>
      </w:r>
      <w:proofErr w:type="spellEnd"/>
      <w:r>
        <w:t>. Wyjaśnia on powstawanie STS w obszarze kategorii wskaźnikó</w:t>
      </w:r>
      <w:r>
        <w:t xml:space="preserve">w stresu psychologicznego, zaburzeń w relacjach z innymi ludźmi oraz zmian poznawczych </w:t>
      </w:r>
      <w:r>
        <w:br/>
      </w:r>
      <w:r>
        <w:t>w obszarze przekonań i założeń na temat świata, które pojawiają się u osoby pomagającej. Autorzy zwrócili także uwagę na uruchamiane osobiste i zawodowe strategie radze</w:t>
      </w:r>
      <w:r>
        <w:t xml:space="preserve">nia sobie ze stresem przez profesjonalistów. Inną koncepcją wyjaśniającą powstawanie STS jest model stresu opartego na empatii autorstwa </w:t>
      </w:r>
      <w:proofErr w:type="spellStart"/>
      <w:r>
        <w:t>Rauvoli</w:t>
      </w:r>
      <w:proofErr w:type="spellEnd"/>
      <w:r>
        <w:t xml:space="preserve">, Vegi i </w:t>
      </w:r>
      <w:proofErr w:type="spellStart"/>
      <w:r>
        <w:t>Lavigne</w:t>
      </w:r>
      <w:proofErr w:type="spellEnd"/>
      <w:r>
        <w:t xml:space="preserve"> (2019). W modelu tym, poza byciem pośrednim świadkiem traumatycznego doświadczenia i przejawian</w:t>
      </w:r>
      <w:r>
        <w:t>iem empatycznego zaangażowania, dla ujawnienia się stresu istotne znaczenie mają również czynniki kontekstualne oraz indywidualne osoby pomagającej. Kolejnym modelem odnoszącym się do mechanizmu powstawania wtórnej traumatyzacji jest konstruktywistyczna te</w:t>
      </w:r>
      <w:r>
        <w:t xml:space="preserve">oria samorozwoju autorstwa </w:t>
      </w:r>
      <w:proofErr w:type="spellStart"/>
      <w:r>
        <w:t>McCann</w:t>
      </w:r>
      <w:proofErr w:type="spellEnd"/>
      <w:r>
        <w:t xml:space="preserve"> i </w:t>
      </w:r>
      <w:proofErr w:type="spellStart"/>
      <w:r>
        <w:t>Pearlman</w:t>
      </w:r>
      <w:proofErr w:type="spellEnd"/>
      <w:r>
        <w:t xml:space="preserve"> (1990), podkreślająca rolę poznawczych aspektów funkcjonowania osób pomagających, kładąca nacisk na poznawcze przetwarzanie traumy. Autorki zakładają, że do powstania STS kluczowe jest wystąpienie zakłóceń </w:t>
      </w:r>
      <w:r>
        <w:br/>
      </w:r>
      <w:r>
        <w:t>w ob</w:t>
      </w:r>
      <w:r>
        <w:t>szarze schematów poznawczych. Dla profesjonalistów pracujących z osobami po traumie znacznym wyzwaniem może okazać się dopasowanie otrzymywanych informacji od osób wspieranych do posiadanych schematów poznawczych, co powoduje ich zniekształcenia i utrudnia</w:t>
      </w:r>
      <w:r>
        <w:t xml:space="preserve"> przystosowanie się.  </w:t>
      </w:r>
    </w:p>
    <w:p w:rsidR="00000000" w:rsidRDefault="00882F43">
      <w:pPr>
        <w:pStyle w:val="Normalny1"/>
        <w:jc w:val="both"/>
      </w:pPr>
      <w:r>
        <w:tab/>
        <w:t>Dotychczasowe wyniki badań wskazują, że objawy wtórnej traumatyzacji mogą występować w zróżnicowanym stopniu u znacznego odsetka pomagających profesjonalistów (</w:t>
      </w:r>
      <w:proofErr w:type="spellStart"/>
      <w:r>
        <w:t>Küçüknane</w:t>
      </w:r>
      <w:proofErr w:type="spellEnd"/>
      <w:r>
        <w:t xml:space="preserve"> i in., 2025). Jak wykazano w meta analizie badań profesjonalis</w:t>
      </w:r>
      <w:r>
        <w:t xml:space="preserve">tów pracujących w obszarze ochrony zdrowia psychicznego zróżnicowanie występowania objawów STS wynosiło od 19% do 70% (Henderson i in., 2025). </w:t>
      </w:r>
      <w:proofErr w:type="spellStart"/>
      <w:r>
        <w:t>Figley</w:t>
      </w:r>
      <w:proofErr w:type="spellEnd"/>
      <w:r>
        <w:t xml:space="preserve"> (1995) zauważył, że w grupie </w:t>
      </w:r>
      <w:r>
        <w:lastRenderedPageBreak/>
        <w:t>psychoterapeutów i pracowników socjalnych częste narażenie na traumę zastępcz</w:t>
      </w:r>
      <w:r>
        <w:t xml:space="preserve">ą zwiększało ryzyko wystąpienia koszmarów sennych, poczucia odrętwienia emocjonalnego </w:t>
      </w:r>
      <w:r>
        <w:br/>
      </w:r>
      <w:r>
        <w:t xml:space="preserve">i trudności w relacjach interpersonalnych. W polskich badaniach psychoterapeutów </w:t>
      </w:r>
      <w:r>
        <w:br/>
      </w:r>
      <w:r>
        <w:t xml:space="preserve">i psychiatrów występowanie wtórnego stresu traumatycznego cechowało w większym stopniu </w:t>
      </w:r>
      <w:r>
        <w:t xml:space="preserve">psychiatrów niż psychoterapeutów (Rzeszutek i in., 2016). Również w dobie pandemii COVID-19 psychoterapeuci deklarowali wysoki i bardzo wysoki poziom nasilenia objawów STS (Kulik i in., 2023). </w:t>
      </w:r>
      <w:proofErr w:type="spellStart"/>
      <w:r>
        <w:t>Marwa</w:t>
      </w:r>
      <w:proofErr w:type="spellEnd"/>
      <w:r>
        <w:t xml:space="preserve"> Al. </w:t>
      </w:r>
      <w:proofErr w:type="spellStart"/>
      <w:r>
        <w:t>Barmawi</w:t>
      </w:r>
      <w:proofErr w:type="spellEnd"/>
      <w:r>
        <w:t xml:space="preserve"> i współpracownicy (2025) ujawnili, że w grupi</w:t>
      </w:r>
      <w:r>
        <w:t>e pielęgniarek oddziałów intensywnej opieki medycznej niemal połowa badanej grupy wykazywała łagodne do umiarkowanego nasilenie symptomów STS, z czego najczęściej były to intruzje i unikanie. Z kolei meta analiza badań z udziałem lekarzy różnych specjaliza</w:t>
      </w:r>
      <w:r>
        <w:t>cji ujawniła występowanie od niskiego do umiarkowanego występowania wtórnego stresu traumatycznego w większości badanych specjalistów (</w:t>
      </w:r>
      <w:proofErr w:type="spellStart"/>
      <w:r>
        <w:t>Cuthrell</w:t>
      </w:r>
      <w:proofErr w:type="spellEnd"/>
      <w:r>
        <w:t xml:space="preserve"> i in., 2022). Ponad</w:t>
      </w:r>
      <w:r>
        <w:t>to</w:t>
      </w:r>
      <w:r>
        <w:t xml:space="preserve"> dowiedziono, że STS może dotyczyć także grupy tłumaczy języka migowego (</w:t>
      </w:r>
      <w:proofErr w:type="spellStart"/>
      <w:r>
        <w:t>Daly</w:t>
      </w:r>
      <w:proofErr w:type="spellEnd"/>
      <w:r>
        <w:t xml:space="preserve"> i </w:t>
      </w:r>
      <w:proofErr w:type="spellStart"/>
      <w:r>
        <w:t>Chovaz</w:t>
      </w:r>
      <w:proofErr w:type="spellEnd"/>
      <w:r>
        <w:t>, 2020). Natomiast w szeroko zakrojonych badaniach polskich kuratorów sądowych, ratowników medycznych, pracowników socjalnych, terapeutów oraz pielęgniarki, przeprowadzon</w:t>
      </w:r>
      <w:r>
        <w:t>ych przez Ninę Ogińską-Bulik i Zygfryda Juczyńskiego (2020) niemal 30% badanej grupy przejawiała ryzyko wystąpienia STS w wysokim stopniu jego nasilenia.</w:t>
      </w:r>
    </w:p>
    <w:p w:rsidR="002B121C" w:rsidRDefault="00882F43">
      <w:pPr>
        <w:pStyle w:val="Normalny1"/>
        <w:spacing w:after="240"/>
        <w:jc w:val="both"/>
      </w:pPr>
      <w:r>
        <w:tab/>
        <w:t>Istotnym faktem jest również to, że konsekwencje wtórnej traumatyzacji wykraczają poza jednostkę, któ</w:t>
      </w:r>
      <w:r>
        <w:t xml:space="preserve">ra jej doświadcza. </w:t>
      </w:r>
      <w:proofErr w:type="spellStart"/>
      <w:r>
        <w:t>Figley</w:t>
      </w:r>
      <w:proofErr w:type="spellEnd"/>
      <w:r>
        <w:t xml:space="preserve"> (2002) podkreśla, że skutki STS mogą oddziaływać systemowo – instytucje doświadczające wysokiej rotacji kadr i problemów ze zdrowiem psychicznym pracowników muszą mierzyć się z dodatkowymi kosztami organizacyjnymi i społecznymi. N</w:t>
      </w:r>
      <w:r>
        <w:t xml:space="preserve">atomiast </w:t>
      </w:r>
      <w:proofErr w:type="spellStart"/>
      <w:r>
        <w:t>Kristensen</w:t>
      </w:r>
      <w:proofErr w:type="spellEnd"/>
      <w:r>
        <w:t xml:space="preserve"> i współpracownicy (2005) zauważyli, że wśród pracowników służby zdrowia objawy te korelują z niższą satysfakcją zawodową </w:t>
      </w:r>
      <w:r>
        <w:br/>
      </w:r>
      <w:r>
        <w:t>i zwiększoną absencją chorobową, co w konsekwencji obniża efektywność działań pomocowych. Wyniki badań wskazują ró</w:t>
      </w:r>
      <w:r>
        <w:t>wnież, że osoby doświadczające wtórnej traumatyzacji częściej wykazują wypalenia zawodowego, co negatywnie wpływa na jakość świadczonej pomocy i bezpieczeństwo pacjentów (Hansel i Saltzman,2024; Stamm, 2010). Wydaje się zatem, że zrozumienie mechanizmów dz</w:t>
      </w:r>
      <w:r>
        <w:t xml:space="preserve">iałania wtórnej traumatyzacji </w:t>
      </w:r>
      <w:r>
        <w:br/>
      </w:r>
      <w:r>
        <w:t xml:space="preserve">i stosowanie rzetelnych narzędzi diagnostycznych jest kluczowe dla opracowania strategii profilaktycznych i wsparcia dla osób narażonych na chroniczne obciążenie emocjonalne </w:t>
      </w:r>
      <w:r>
        <w:br/>
      </w:r>
      <w:r>
        <w:t>w wykonywanej pracy pomocowej.</w:t>
      </w:r>
    </w:p>
    <w:p w:rsidR="002B121C" w:rsidRDefault="002B121C">
      <w:pPr>
        <w:pStyle w:val="Normalny1"/>
        <w:spacing w:after="240"/>
        <w:jc w:val="center"/>
        <w:rPr>
          <w:b/>
        </w:rPr>
      </w:pPr>
    </w:p>
    <w:p w:rsidR="002B121C" w:rsidRDefault="00882F43">
      <w:pPr>
        <w:pStyle w:val="Normalny1"/>
        <w:spacing w:after="240"/>
        <w:jc w:val="center"/>
        <w:rPr>
          <w:b/>
        </w:rPr>
      </w:pPr>
      <w:r>
        <w:rPr>
          <w:b/>
        </w:rPr>
        <w:lastRenderedPageBreak/>
        <w:t>Wtórny wzrost potr</w:t>
      </w:r>
      <w:r>
        <w:rPr>
          <w:b/>
        </w:rPr>
        <w:t>aumatyczny</w:t>
      </w:r>
    </w:p>
    <w:p w:rsidR="00000000" w:rsidRDefault="00882F43">
      <w:pPr>
        <w:pStyle w:val="Normalny1"/>
        <w:jc w:val="both"/>
      </w:pPr>
      <w:r>
        <w:t xml:space="preserve">Równolegle do badań nad negatywnymi skutkami pracy profesjonalistów z ofiarami traumy pojawiło się zainteresowanie zjawiskiem wtórnego wzrostu potraumatycznego. W literaturze przedmiotu bywa on nazywany także zastępczym wzrostem potraumatyczny </w:t>
      </w:r>
      <w:r>
        <w:t xml:space="preserve">(ang. </w:t>
      </w:r>
      <w:proofErr w:type="spellStart"/>
      <w:r>
        <w:rPr>
          <w:i/>
        </w:rPr>
        <w:t>vicarious</w:t>
      </w:r>
      <w:proofErr w:type="spellEnd"/>
      <w:r>
        <w:rPr>
          <w:i/>
        </w:rPr>
        <w:t xml:space="preserve"> </w:t>
      </w:r>
      <w:proofErr w:type="spellStart"/>
      <w:r>
        <w:rPr>
          <w:i/>
        </w:rPr>
        <w:t>posttraumatic</w:t>
      </w:r>
      <w:proofErr w:type="spellEnd"/>
      <w:r>
        <w:rPr>
          <w:i/>
        </w:rPr>
        <w:t xml:space="preserve"> growth</w:t>
      </w:r>
      <w:r>
        <w:t xml:space="preserve">, VPTG). Różnica między tymi pojęciami dotyczy mechanizmu ich powstawania. SPG pojawia się w wyniku zarażania się pozytywnymi zmianami doświadczanymi przez osoby straumatyzowane, zaś VPTG powstaje wskutek obserwacji </w:t>
      </w:r>
      <w:r>
        <w:br/>
      </w:r>
      <w:r>
        <w:t>i n</w:t>
      </w:r>
      <w:r>
        <w:t>aśladowania pozytywnych zmian w życiu ofiar traumy (</w:t>
      </w:r>
      <w:proofErr w:type="spellStart"/>
      <w:r>
        <w:t>Arnedo</w:t>
      </w:r>
      <w:proofErr w:type="spellEnd"/>
      <w:r>
        <w:t xml:space="preserve"> i </w:t>
      </w:r>
      <w:proofErr w:type="spellStart"/>
      <w:r>
        <w:t>Casellas-Grau</w:t>
      </w:r>
      <w:proofErr w:type="spellEnd"/>
      <w:r>
        <w:t>, 2015). Zjawisko to jest pozytywną konsekwencją obcowania z osobami po traumatycznych doświadczeniach i może stanowić źródło rozwoju osobistego dla pomagających profesjonalistów (Te</w:t>
      </w:r>
      <w:r>
        <w:t>deschi i Calhoun, 1996). Specjaliści obserwując siłę i odporność swoich pacjentów, mogą doświadczać pogłębionej refleksji nad sensem życia, zmiany w percepcji siebie i relacji z innymi ludźmi, rozwijać się duchowo czy wzmacniać poczucie własnej skutecznośc</w:t>
      </w:r>
      <w:r>
        <w:t xml:space="preserve">i zawodowej (Calhoun i Tedeschi, 2013; </w:t>
      </w:r>
      <w:proofErr w:type="spellStart"/>
      <w:r>
        <w:t>Linley</w:t>
      </w:r>
      <w:proofErr w:type="spellEnd"/>
      <w:r>
        <w:t xml:space="preserve"> i Joseph, 2004; Ogińska-Bulik, 2013).</w:t>
      </w:r>
    </w:p>
    <w:p w:rsidR="00000000" w:rsidRDefault="00882F43">
      <w:pPr>
        <w:pStyle w:val="Normalny1"/>
        <w:jc w:val="both"/>
      </w:pPr>
      <w:r>
        <w:tab/>
        <w:t>Chociaż nie ma do końca jasności, w jaki sposób powstaje wtórny czy zastępczy wzrost potraumatyczny, istotnym modelem wyjaśniającym możliwość jego pojawienia się jest funk</w:t>
      </w:r>
      <w:r>
        <w:t>cjonalno-opisowy model wzrostu po traumie. Autorzy, Richard Tedeschi i Lawrence Calhoun (2004), opisywali wprawdzie doświadczenia osób przeżywających traumatyczne wydarzenia (jako wzrost potraumatyczny), jednak wydaje się on adekwatnie opisywać również prz</w:t>
      </w:r>
      <w:r>
        <w:t>eżycia profesjonalistów zagrożonych wtórną traumatyzacją. Model ten zakłada, że doświadczenie traumy – obok strat – może prowadzić do pozytywnych zmian w zakresie tożsamości, relacji i systemu wartości. Opisywany mechanizm opiera się na rozbiciu dotychczas</w:t>
      </w:r>
      <w:r>
        <w:t xml:space="preserve">owych schematów poznawczych, poszukiwaniu nowych znaczeń oraz wykorzystaniu wsparcia społecznego. Ramy te mogą być również zastosowane do zrozumienia zjawiska zastępczego wzrostu potraumatycznego, kiedy to osoby stykające się </w:t>
      </w:r>
      <w:r>
        <w:br/>
      </w:r>
      <w:r>
        <w:t>z cudzym cierpieniem doświadc</w:t>
      </w:r>
      <w:r>
        <w:t>zają podobnych procesów przewartościowania i rozwoju osobistego.</w:t>
      </w:r>
    </w:p>
    <w:p w:rsidR="00000000" w:rsidRDefault="00882F43">
      <w:pPr>
        <w:pStyle w:val="Normalny1"/>
        <w:jc w:val="both"/>
      </w:pPr>
      <w:r>
        <w:tab/>
        <w:t xml:space="preserve">Inną koncepcją wyjaśniającą jest model zaproponowany przez Karen Cohen i Paulę </w:t>
      </w:r>
      <w:proofErr w:type="spellStart"/>
      <w:r>
        <w:t>Collens</w:t>
      </w:r>
      <w:proofErr w:type="spellEnd"/>
      <w:r>
        <w:t xml:space="preserve"> (2013). Autorki wskazują, że kluczowe dla negatywnych i pozytywnych skutków ekspozycji na traumatyczne </w:t>
      </w:r>
      <w:r>
        <w:t xml:space="preserve">doświadczenie jest przejawianie empatycznego zaangażowania wspierającego profesjonalisty. Przeżywane emocjonalne, poznawcze lub somatyczne reakcje – pojawiające się w wyniku obciążającej sytuacji towarzyszenia osobie straumatyzowanej – </w:t>
      </w:r>
      <w:r>
        <w:lastRenderedPageBreak/>
        <w:t xml:space="preserve">kierują aktywność w </w:t>
      </w:r>
      <w:r>
        <w:t xml:space="preserve">stronę podejmowania prób poradzenia sobie z tymi trudnościami </w:t>
      </w:r>
      <w:r>
        <w:br/>
      </w:r>
      <w:r>
        <w:t>w funkcjonowaniu. Wśród tych działań można wymienić poszukiwanie dla siebie wsparcia, mówienie o swoich przeżyciach emocjonalnych, udanie się na superwizję bądź grupę pomocową dla profesjonalis</w:t>
      </w:r>
      <w:r>
        <w:t xml:space="preserve">tów bądź uruchomienie zasobów osobistych jak optymizm czy zwrot w stronę duchowości </w:t>
      </w:r>
      <w:r>
        <w:t xml:space="preserve">(Cohen i </w:t>
      </w:r>
      <w:proofErr w:type="spellStart"/>
      <w:r>
        <w:t>Collens</w:t>
      </w:r>
      <w:proofErr w:type="spellEnd"/>
      <w:r>
        <w:t>, 2013).</w:t>
      </w:r>
    </w:p>
    <w:p w:rsidR="00000000" w:rsidRDefault="00882F43">
      <w:pPr>
        <w:pStyle w:val="Normalny1"/>
        <w:jc w:val="both"/>
      </w:pPr>
      <w:r>
        <w:tab/>
        <w:t>Fenomen wtórnego czy zastępczego wzrostu po traumie, mimo nielicznych dotychczasowych badań, zdaje się cieszyć coraz większą popularnością w doni</w:t>
      </w:r>
      <w:r>
        <w:t>esieniach naukowych. Badacze zajmujący się zjawiskiem SPG i VPTG skupiali się dotychczas głównie na personelu medycznym (</w:t>
      </w:r>
      <w:proofErr w:type="spellStart"/>
      <w:r>
        <w:t>Doherty</w:t>
      </w:r>
      <w:proofErr w:type="spellEnd"/>
      <w:r>
        <w:t xml:space="preserve"> i in., 2020; </w:t>
      </w:r>
      <w:proofErr w:type="spellStart"/>
      <w:r>
        <w:t>Manning-Jones</w:t>
      </w:r>
      <w:proofErr w:type="spellEnd"/>
      <w:r>
        <w:t xml:space="preserve"> i in., 2015), pielęgniarkach (</w:t>
      </w:r>
      <w:proofErr w:type="spellStart"/>
      <w:r>
        <w:t>Cai</w:t>
      </w:r>
      <w:proofErr w:type="spellEnd"/>
      <w:r>
        <w:t xml:space="preserve"> i in., 2024), pielęgniarkach opieki paliatywnej (Ogińska-Bulik, 20</w:t>
      </w:r>
      <w:r>
        <w:t>18), innych profesjonalistach towarzyszących ludziom cierpiącym w skutek doświadczenia dramatycznych przeżyć (</w:t>
      </w:r>
      <w:proofErr w:type="spellStart"/>
      <w:r>
        <w:t>Fedele</w:t>
      </w:r>
      <w:proofErr w:type="spellEnd"/>
      <w:r>
        <w:t xml:space="preserve">, 2018; </w:t>
      </w:r>
      <w:proofErr w:type="spellStart"/>
      <w:r>
        <w:t>Linley</w:t>
      </w:r>
      <w:proofErr w:type="spellEnd"/>
      <w:r>
        <w:t xml:space="preserve"> i in., 2013), pracownikach socjalnych (</w:t>
      </w:r>
      <w:proofErr w:type="spellStart"/>
      <w:r>
        <w:t>Ben-Porat</w:t>
      </w:r>
      <w:proofErr w:type="spellEnd"/>
      <w:r>
        <w:t xml:space="preserve">, 2023) czy psychoterapeutach (Arnold i in., 2005; </w:t>
      </w:r>
      <w:proofErr w:type="spellStart"/>
      <w:r>
        <w:t>Froman</w:t>
      </w:r>
      <w:proofErr w:type="spellEnd"/>
      <w:r>
        <w:t>, 2014; Sterna, 2023</w:t>
      </w:r>
      <w:r>
        <w:t>) także pracujących z osobami uzależnionymi (</w:t>
      </w:r>
      <w:proofErr w:type="spellStart"/>
      <w:r>
        <w:t>Annunziata</w:t>
      </w:r>
      <w:proofErr w:type="spellEnd"/>
      <w:r>
        <w:t xml:space="preserve"> i in., 2024; Ogińska-Bulik i </w:t>
      </w:r>
      <w:proofErr w:type="spellStart"/>
      <w:r>
        <w:t>Juczyński</w:t>
      </w:r>
      <w:proofErr w:type="spellEnd"/>
      <w:r>
        <w:t>, 2025).</w:t>
      </w:r>
    </w:p>
    <w:p w:rsidR="00000000" w:rsidRDefault="00882F43">
      <w:pPr>
        <w:pStyle w:val="Normalny1"/>
        <w:jc w:val="both"/>
      </w:pPr>
      <w:r>
        <w:tab/>
        <w:t xml:space="preserve">Odczuwanie przez osoby pomagające osobom </w:t>
      </w:r>
      <w:proofErr w:type="spellStart"/>
      <w:r>
        <w:t>ztraumatyzowanym</w:t>
      </w:r>
      <w:proofErr w:type="spellEnd"/>
      <w:r>
        <w:t xml:space="preserve"> zastępczego wzrostu potraumatycznego nie oznacza braku trudności, lecz współistnienie pozytywn</w:t>
      </w:r>
      <w:r>
        <w:t xml:space="preserve">ych zmian z doświadczeniami trudnymi. Może być traktowany jako forma adaptacji psychicznej, w której jednostka przekształca negatywne bodźce w źródło rozwoju i osobistych zmian (Joseph i </w:t>
      </w:r>
      <w:proofErr w:type="spellStart"/>
      <w:r>
        <w:t>Linley</w:t>
      </w:r>
      <w:proofErr w:type="spellEnd"/>
      <w:r>
        <w:t>, 2005). Wyniki badania wskazują, że obecność czynników ochronn</w:t>
      </w:r>
      <w:r>
        <w:t>ych, takich jak wsparcie społeczne (</w:t>
      </w:r>
      <w:proofErr w:type="spellStart"/>
      <w:r>
        <w:t>Gurowiec</w:t>
      </w:r>
      <w:proofErr w:type="spellEnd"/>
      <w:r>
        <w:t xml:space="preserve"> i in., 2022), adaptacyjne strategie radzenia sobie ze stresem (</w:t>
      </w:r>
      <w:proofErr w:type="spellStart"/>
      <w:r>
        <w:t>Kalaitzaki</w:t>
      </w:r>
      <w:proofErr w:type="spellEnd"/>
      <w:r>
        <w:t xml:space="preserve"> i in., 2022), a także odpowiednia organizacja pracy (</w:t>
      </w:r>
      <w:proofErr w:type="spellStart"/>
      <w:r>
        <w:t>Linley</w:t>
      </w:r>
      <w:proofErr w:type="spellEnd"/>
      <w:r>
        <w:t xml:space="preserve"> i Joseph, 2007), sprzyjają pojawianiu się tego fenomenu.</w:t>
      </w:r>
    </w:p>
    <w:p w:rsidR="00000000" w:rsidRDefault="00882F43">
      <w:pPr>
        <w:pStyle w:val="Normalny1"/>
        <w:jc w:val="both"/>
      </w:pPr>
      <w:r>
        <w:tab/>
        <w:t>Jak wskazano powyże</w:t>
      </w:r>
      <w:r>
        <w:t xml:space="preserve">j, na szczególne ryzyko wtórnej traumatyzacji i szansę wtórnego wzrostu potraumatycznego narażone są grupy zawodowe pozostające </w:t>
      </w:r>
      <w:r>
        <w:br/>
      </w:r>
      <w:r>
        <w:t>w codziennym kontakcie z cierpieniem i zagrożeniem życia swoich pacjentów. Psychologowie i psychoterapeuci konfrontują się z tr</w:t>
      </w:r>
      <w:r>
        <w:t>aumami indywidualnymi czy zbiorowymi (</w:t>
      </w:r>
      <w:proofErr w:type="spellStart"/>
      <w:r>
        <w:t>Clearrly</w:t>
      </w:r>
      <w:proofErr w:type="spellEnd"/>
      <w:r>
        <w:t xml:space="preserve"> i in., 2024; </w:t>
      </w:r>
      <w:proofErr w:type="spellStart"/>
      <w:r>
        <w:t>Figley</w:t>
      </w:r>
      <w:proofErr w:type="spellEnd"/>
      <w:r>
        <w:t xml:space="preserve">, 1995; </w:t>
      </w:r>
      <w:proofErr w:type="spellStart"/>
      <w:r>
        <w:t>Manning-Jones</w:t>
      </w:r>
      <w:proofErr w:type="spellEnd"/>
      <w:r>
        <w:t xml:space="preserve"> i in., 2017), lekarze </w:t>
      </w:r>
      <w:r>
        <w:br/>
      </w:r>
      <w:r>
        <w:t>i pielęgniarki codziennie spotykają się z cierpieniem i śmiercią (</w:t>
      </w:r>
      <w:proofErr w:type="spellStart"/>
      <w:r>
        <w:t>Melinte</w:t>
      </w:r>
      <w:proofErr w:type="spellEnd"/>
      <w:r>
        <w:t xml:space="preserve"> i in., 2023; </w:t>
      </w:r>
      <w:proofErr w:type="spellStart"/>
      <w:r>
        <w:t>Yaakubov</w:t>
      </w:r>
      <w:proofErr w:type="spellEnd"/>
      <w:r>
        <w:t xml:space="preserve"> i in., 2020), zaś ratownicy medyczni i strażacy d</w:t>
      </w:r>
      <w:r>
        <w:t>ziałają w sytuacjach nagłych, często dramatycznych (</w:t>
      </w:r>
      <w:proofErr w:type="spellStart"/>
      <w:r>
        <w:t>Kristensen</w:t>
      </w:r>
      <w:proofErr w:type="spellEnd"/>
      <w:r>
        <w:t xml:space="preserve"> i in., 2005; </w:t>
      </w:r>
      <w:proofErr w:type="spellStart"/>
      <w:r>
        <w:t>Melinte</w:t>
      </w:r>
      <w:proofErr w:type="spellEnd"/>
      <w:r>
        <w:t xml:space="preserve"> i in., 2023; </w:t>
      </w:r>
      <w:proofErr w:type="spellStart"/>
      <w:r>
        <w:t>Shin</w:t>
      </w:r>
      <w:proofErr w:type="spellEnd"/>
      <w:r>
        <w:t xml:space="preserve"> i in., 2023). Z kolei policjanci i pracownicy służb mundurowych narażeni są na kontakt z przemocą i ofiarami przestępstw, a pracownicy socjalni – z chroni</w:t>
      </w:r>
      <w:r>
        <w:t xml:space="preserve">cznymi kryzysami społecznymi (Bąk i Ogińska-Bulik, 2024; Ogińska-Bulik i </w:t>
      </w:r>
      <w:proofErr w:type="spellStart"/>
      <w:r>
        <w:t>Juczyński</w:t>
      </w:r>
      <w:proofErr w:type="spellEnd"/>
      <w:r>
        <w:t xml:space="preserve">, 2010, 2020). </w:t>
      </w:r>
    </w:p>
    <w:p w:rsidR="002B121C" w:rsidRDefault="00882F43">
      <w:pPr>
        <w:pStyle w:val="Normalny1"/>
        <w:spacing w:after="240"/>
        <w:jc w:val="both"/>
      </w:pPr>
      <w:r>
        <w:lastRenderedPageBreak/>
        <w:tab/>
        <w:t>Takie obciążenia w pracy zawodowej, niosące zarówno negatywne i pozytywne skutki, dotyczą indywidualnie profesjonalistów oraz organizacji, w której oni pracu</w:t>
      </w:r>
      <w:r>
        <w:t>ją. Konsekwencje te mogą mieć istotny wpływ zarówno na kondycję psychofizyczną osób pomagających, jak i sposób wykonywania przez nie obowiązków zawodowych. Wskazuje to jasno na konieczność precyzyjnego diagnozowania poziomu nasilenia STS oraz SPG/VPTG cele</w:t>
      </w:r>
      <w:r>
        <w:t>m dostosowania programów profilaktycznych i pomocowych. Z jednej strony mogą one wspierać kształtowanie zasobów i umiejętności radzenia sobie z trudami pracy, by minimalizować ryzyko wystąpienia wtórnego stresu traumatycznego, a z drugiej wzmacniać profesj</w:t>
      </w:r>
      <w:r>
        <w:t xml:space="preserve">onalistów w taki sposób, by obcowanie z osobami straumatyzowanymi stanowiło możliwość do rozwoju osobistego i doświadczania wtórnego potraumatycznego wzrostu.  </w:t>
      </w:r>
    </w:p>
    <w:p w:rsidR="002B121C" w:rsidRDefault="00882F43">
      <w:pPr>
        <w:pStyle w:val="Normalny1"/>
        <w:spacing w:after="240"/>
        <w:jc w:val="center"/>
        <w:rPr>
          <w:b/>
        </w:rPr>
      </w:pPr>
      <w:r>
        <w:rPr>
          <w:b/>
        </w:rPr>
        <w:t>Narzędzia badawcze do pomiaru wtórnej traumatyzacji i wtórnego wzrostu potraumatycznego</w:t>
      </w:r>
    </w:p>
    <w:p w:rsidR="00000000" w:rsidRDefault="00882F43">
      <w:pPr>
        <w:pStyle w:val="Normalny1"/>
        <w:jc w:val="both"/>
      </w:pPr>
      <w:r>
        <w:t xml:space="preserve">W badaniach nad konsekwencjami psychologicznymi pracy pomocowej, obejmującymi zarówno negatywne, jak i pozytywne następstwa kontaktu z doświadczeniami traumatycznymi innych osób, istotne znaczenie odgrywa dobór adekwatnych narzędzi pomiarowych. Precyzyjne </w:t>
      </w:r>
      <w:r>
        <w:t xml:space="preserve">kwestionariusze umożliwiają nie tylko rozpoznanie poziomu obciążenia związanego z wtórną traumatyzacją, ale również identyfikację potencjalnych mechanizmów sprzyjających rozwojowi </w:t>
      </w:r>
      <w:proofErr w:type="spellStart"/>
      <w:r>
        <w:t>potraumatycznemu</w:t>
      </w:r>
      <w:proofErr w:type="spellEnd"/>
      <w:r>
        <w:t>. Dzięki ich wykorzystaniu możliwe jest prowadzenie analiz p</w:t>
      </w:r>
      <w:r>
        <w:t>orównawczych, ocena skuteczności interwencji oraz lepsze zrozumienie procesów adaptacyjnych zachodzących w grupach zawodowych narażonych na kontakt z traumą. Poniżej przedstawiono najczęściej stosowane w literaturze narzędzia, które służą do pomiaru obu ty</w:t>
      </w:r>
      <w:r>
        <w:t xml:space="preserve">ch zjawisk. </w:t>
      </w:r>
    </w:p>
    <w:p w:rsidR="002B121C" w:rsidRDefault="00882F43">
      <w:pPr>
        <w:pStyle w:val="Normalny1"/>
        <w:spacing w:after="240"/>
        <w:jc w:val="both"/>
      </w:pPr>
      <w:r>
        <w:tab/>
        <w:t>W tabeli 1 przedstawiono wybrane narzędzia do pomiaru wtórnego stresu traumatycznego i wtórnego/zastępczego wzrostu potraumatycznego oraz zbliżonych znaczeniem konstruktów. Z kolei tabela 2 zawiera wykaz polskich adaptacji i skal mających zas</w:t>
      </w:r>
      <w:r>
        <w:t xml:space="preserve">tosowanie w diagnozie omawianych zjawisk. Dla przejrzystości prezentowanego przeglądu, dla każdego opisywanego narzędzia do wybrano przykładowe artykuły naukowe, w którym narzędzie to było zastosowane w badaniach danej grupy zawodowej. </w:t>
      </w:r>
    </w:p>
    <w:p w:rsidR="002B121C" w:rsidRDefault="002B121C">
      <w:pPr>
        <w:pStyle w:val="Normalny1"/>
        <w:rPr>
          <w:b/>
          <w:bCs/>
        </w:rPr>
      </w:pPr>
    </w:p>
    <w:p w:rsidR="002B121C" w:rsidRDefault="002B121C">
      <w:pPr>
        <w:pStyle w:val="Normalny1"/>
        <w:rPr>
          <w:b/>
          <w:bCs/>
        </w:rPr>
      </w:pPr>
    </w:p>
    <w:p w:rsidR="002B121C" w:rsidRDefault="002B121C">
      <w:pPr>
        <w:pStyle w:val="Normalny1"/>
        <w:rPr>
          <w:b/>
          <w:bCs/>
        </w:rPr>
      </w:pPr>
    </w:p>
    <w:p w:rsidR="002B121C" w:rsidRDefault="002B121C">
      <w:pPr>
        <w:pStyle w:val="Normalny1"/>
        <w:rPr>
          <w:b/>
          <w:bCs/>
        </w:rPr>
      </w:pPr>
    </w:p>
    <w:p w:rsidR="002B121C" w:rsidRPr="002B121C" w:rsidRDefault="007F2BA2">
      <w:pPr>
        <w:pStyle w:val="Normalny1"/>
        <w:rPr>
          <w:b/>
          <w:bCs/>
        </w:rPr>
      </w:pPr>
      <w:r w:rsidRPr="007F2BA2">
        <w:rPr>
          <w:b/>
          <w:bCs/>
        </w:rPr>
        <w:lastRenderedPageBreak/>
        <w:t>Tabela 1</w:t>
      </w:r>
    </w:p>
    <w:p w:rsidR="002B121C" w:rsidRPr="002B121C" w:rsidRDefault="007F2BA2">
      <w:pPr>
        <w:pStyle w:val="Normalny1"/>
        <w:rPr>
          <w:i/>
          <w:iCs/>
        </w:rPr>
      </w:pPr>
      <w:r w:rsidRPr="007F2BA2">
        <w:rPr>
          <w:i/>
          <w:iCs/>
        </w:rPr>
        <w:t>Narzędzia zagraniczne</w:t>
      </w:r>
    </w:p>
    <w:tbl>
      <w:tblPr>
        <w:tblStyle w:val="Tabela-Siatka"/>
        <w:tblW w:w="9026" w:type="dxa"/>
        <w:tblLayout w:type="fixed"/>
        <w:tblLook w:val="04A0"/>
      </w:tblPr>
      <w:tblGrid>
        <w:gridCol w:w="1715"/>
        <w:gridCol w:w="1694"/>
        <w:gridCol w:w="1661"/>
        <w:gridCol w:w="1723"/>
        <w:gridCol w:w="2233"/>
      </w:tblGrid>
      <w:tr w:rsidR="002B121C" w:rsidTr="00472B24">
        <w:tc>
          <w:tcPr>
            <w:tcW w:w="1715" w:type="dxa"/>
          </w:tcPr>
          <w:p w:rsidR="002B121C" w:rsidRDefault="00882F43">
            <w:pPr>
              <w:pStyle w:val="Normalny1"/>
            </w:pPr>
            <w:r>
              <w:t>Nazwa narzędzia</w:t>
            </w:r>
          </w:p>
        </w:tc>
        <w:tc>
          <w:tcPr>
            <w:tcW w:w="1694" w:type="dxa"/>
          </w:tcPr>
          <w:p w:rsidR="002B121C" w:rsidRDefault="00882F43">
            <w:pPr>
              <w:pStyle w:val="Normalny1"/>
            </w:pPr>
            <w:r>
              <w:t>Autorzy</w:t>
            </w:r>
          </w:p>
        </w:tc>
        <w:tc>
          <w:tcPr>
            <w:tcW w:w="1661" w:type="dxa"/>
          </w:tcPr>
          <w:p w:rsidR="002B121C" w:rsidRDefault="00882F43">
            <w:pPr>
              <w:pStyle w:val="Normalny1"/>
            </w:pPr>
            <w:r>
              <w:t xml:space="preserve">Liczba </w:t>
            </w:r>
            <w:proofErr w:type="spellStart"/>
            <w:r>
              <w:t>pozycj</w:t>
            </w:r>
            <w:proofErr w:type="spellEnd"/>
            <w:r>
              <w:t xml:space="preserve"> testu</w:t>
            </w:r>
          </w:p>
        </w:tc>
        <w:tc>
          <w:tcPr>
            <w:tcW w:w="1723" w:type="dxa"/>
          </w:tcPr>
          <w:p w:rsidR="002B121C" w:rsidRDefault="00882F43">
            <w:pPr>
              <w:pStyle w:val="Normalny1"/>
            </w:pPr>
            <w:r>
              <w:t>Skale/podskale i zakres pomiaru</w:t>
            </w:r>
          </w:p>
        </w:tc>
        <w:tc>
          <w:tcPr>
            <w:tcW w:w="2233" w:type="dxa"/>
          </w:tcPr>
          <w:p w:rsidR="002B121C" w:rsidRDefault="00882F43">
            <w:pPr>
              <w:pStyle w:val="Normalny1"/>
            </w:pPr>
            <w:r>
              <w:t>Przykłady grup zawodowych</w:t>
            </w:r>
          </w:p>
        </w:tc>
      </w:tr>
      <w:tr w:rsidR="002B121C" w:rsidTr="00472B24">
        <w:tc>
          <w:tcPr>
            <w:tcW w:w="1715" w:type="dxa"/>
          </w:tcPr>
          <w:p w:rsidR="002B121C" w:rsidRPr="00D058CA" w:rsidRDefault="007F2BA2">
            <w:pPr>
              <w:pStyle w:val="Normalny1"/>
              <w:rPr>
                <w:lang w:val="en-GB"/>
              </w:rPr>
            </w:pPr>
            <w:r w:rsidRPr="007F2BA2">
              <w:rPr>
                <w:lang w:val="en-GB"/>
              </w:rPr>
              <w:t>Secondary Traumatic Stress Scale (STSS)</w:t>
            </w:r>
          </w:p>
        </w:tc>
        <w:tc>
          <w:tcPr>
            <w:tcW w:w="1694" w:type="dxa"/>
          </w:tcPr>
          <w:p w:rsidR="002B121C" w:rsidRDefault="00882F43">
            <w:pPr>
              <w:pStyle w:val="Normalny1"/>
            </w:pPr>
            <w:proofErr w:type="spellStart"/>
            <w:r>
              <w:t>Bride</w:t>
            </w:r>
            <w:proofErr w:type="spellEnd"/>
            <w:r>
              <w:t xml:space="preserve">, Robinson, </w:t>
            </w:r>
            <w:proofErr w:type="spellStart"/>
            <w:r>
              <w:t>Yegidis</w:t>
            </w:r>
            <w:proofErr w:type="spellEnd"/>
            <w:r>
              <w:t xml:space="preserve">, </w:t>
            </w:r>
            <w:proofErr w:type="spellStart"/>
            <w:r>
              <w:t>Figley</w:t>
            </w:r>
            <w:proofErr w:type="spellEnd"/>
            <w:r>
              <w:t xml:space="preserve"> (2004)</w:t>
            </w:r>
          </w:p>
        </w:tc>
        <w:tc>
          <w:tcPr>
            <w:tcW w:w="1661" w:type="dxa"/>
          </w:tcPr>
          <w:p w:rsidR="002B121C" w:rsidRDefault="00882F43">
            <w:pPr>
              <w:pStyle w:val="Normalny1"/>
            </w:pPr>
            <w:r>
              <w:t>17</w:t>
            </w:r>
          </w:p>
        </w:tc>
        <w:tc>
          <w:tcPr>
            <w:tcW w:w="1723" w:type="dxa"/>
          </w:tcPr>
          <w:p w:rsidR="002B121C" w:rsidRDefault="00882F43">
            <w:pPr>
              <w:pStyle w:val="Normalny1"/>
            </w:pPr>
            <w:r>
              <w:t>Intruzja, unikanie, pobudzenie (PTSD wg DSM-IV)</w:t>
            </w:r>
          </w:p>
        </w:tc>
        <w:tc>
          <w:tcPr>
            <w:tcW w:w="2233" w:type="dxa"/>
          </w:tcPr>
          <w:p w:rsidR="002B121C" w:rsidRDefault="00882F43">
            <w:pPr>
              <w:pStyle w:val="Normalny1"/>
            </w:pPr>
            <w:r>
              <w:t>Pracownicy socjalni, pielęgniarki (</w:t>
            </w:r>
            <w:proofErr w:type="spellStart"/>
            <w:r>
              <w:t>Bride</w:t>
            </w:r>
            <w:proofErr w:type="spellEnd"/>
            <w:r>
              <w:t xml:space="preserve"> </w:t>
            </w:r>
            <w:r>
              <w:br/>
            </w:r>
            <w:r>
              <w:t>i in., 2004); psycholodzy kliniczni (</w:t>
            </w:r>
            <w:proofErr w:type="spellStart"/>
            <w:r w:rsidR="00D058CA">
              <w:t>Makadia</w:t>
            </w:r>
            <w:proofErr w:type="spellEnd"/>
            <w:r w:rsidR="00D058CA">
              <w:t xml:space="preserve"> </w:t>
            </w:r>
            <w:r w:rsidR="00AB516D">
              <w:br/>
            </w:r>
            <w:r w:rsidR="00D058CA">
              <w:t>i in.</w:t>
            </w:r>
            <w:r>
              <w:t>, 2017); adwokaci (</w:t>
            </w:r>
            <w:proofErr w:type="spellStart"/>
            <w:r>
              <w:t>Benuto</w:t>
            </w:r>
            <w:proofErr w:type="spellEnd"/>
            <w:r>
              <w:t xml:space="preserve"> </w:t>
            </w:r>
            <w:r>
              <w:br/>
            </w:r>
            <w:r>
              <w:t>i in., 2021); położne (</w:t>
            </w:r>
            <w:proofErr w:type="spellStart"/>
            <w:r>
              <w:t>Hajiesmaello</w:t>
            </w:r>
            <w:proofErr w:type="spellEnd"/>
            <w:r>
              <w:t xml:space="preserve"> i in., 2024); policjanci, personel medyczny (Grandi i in., 2025)</w:t>
            </w:r>
          </w:p>
        </w:tc>
      </w:tr>
      <w:tr w:rsidR="002B121C" w:rsidTr="00472B24">
        <w:tc>
          <w:tcPr>
            <w:tcW w:w="1715" w:type="dxa"/>
          </w:tcPr>
          <w:p w:rsidR="002B121C" w:rsidRPr="00D058CA" w:rsidRDefault="007F2BA2">
            <w:pPr>
              <w:pStyle w:val="Normalny1"/>
              <w:rPr>
                <w:lang w:val="en-GB"/>
              </w:rPr>
            </w:pPr>
            <w:r w:rsidRPr="007F2BA2">
              <w:rPr>
                <w:lang w:val="en-GB"/>
              </w:rPr>
              <w:t>Professional Quality of Life Scale (</w:t>
            </w:r>
            <w:proofErr w:type="spellStart"/>
            <w:r w:rsidRPr="007F2BA2">
              <w:rPr>
                <w:lang w:val="en-GB"/>
              </w:rPr>
              <w:t>ProQOL</w:t>
            </w:r>
            <w:proofErr w:type="spellEnd"/>
            <w:r w:rsidRPr="007F2BA2">
              <w:rPr>
                <w:lang w:val="en-GB"/>
              </w:rPr>
              <w:t>)</w:t>
            </w:r>
          </w:p>
        </w:tc>
        <w:tc>
          <w:tcPr>
            <w:tcW w:w="1694" w:type="dxa"/>
          </w:tcPr>
          <w:p w:rsidR="002B121C" w:rsidRDefault="00882F43">
            <w:pPr>
              <w:pStyle w:val="Normalny1"/>
            </w:pPr>
            <w:r>
              <w:t>Stamm B. H. (2010)</w:t>
            </w:r>
          </w:p>
        </w:tc>
        <w:tc>
          <w:tcPr>
            <w:tcW w:w="1661" w:type="dxa"/>
          </w:tcPr>
          <w:p w:rsidR="002B121C" w:rsidRDefault="00882F43">
            <w:pPr>
              <w:pStyle w:val="Normalny1"/>
            </w:pPr>
            <w:r>
              <w:t>30</w:t>
            </w:r>
          </w:p>
        </w:tc>
        <w:tc>
          <w:tcPr>
            <w:tcW w:w="1723" w:type="dxa"/>
          </w:tcPr>
          <w:p w:rsidR="002B121C" w:rsidRDefault="00882F43">
            <w:pPr>
              <w:pStyle w:val="Normalny1"/>
            </w:pPr>
            <w:r>
              <w:t>Zadowolenie ze współczucia, wypalenie, wtórny stres traumatyczny</w:t>
            </w:r>
          </w:p>
        </w:tc>
        <w:tc>
          <w:tcPr>
            <w:tcW w:w="2233" w:type="dxa"/>
          </w:tcPr>
          <w:p w:rsidR="002B121C" w:rsidRDefault="00882F43">
            <w:pPr>
              <w:pStyle w:val="Normalny1"/>
            </w:pPr>
            <w:r>
              <w:t>Psychoterapeuci, pielęgniarki, ratownicy medyczni (Stamm, 2010); pracownicy socjalni (</w:t>
            </w:r>
            <w:proofErr w:type="spellStart"/>
            <w:r>
              <w:t>Geoffrion</w:t>
            </w:r>
            <w:proofErr w:type="spellEnd"/>
            <w:r>
              <w:t xml:space="preserve"> i in., 2019); pracownicy ochrony zdrowia psychicz</w:t>
            </w:r>
            <w:r>
              <w:t>nego (</w:t>
            </w:r>
            <w:proofErr w:type="spellStart"/>
            <w:r>
              <w:t>Singh</w:t>
            </w:r>
            <w:proofErr w:type="spellEnd"/>
            <w:r>
              <w:t xml:space="preserve"> i in., 2024)</w:t>
            </w:r>
          </w:p>
        </w:tc>
      </w:tr>
      <w:tr w:rsidR="002B121C" w:rsidTr="00472B24">
        <w:tc>
          <w:tcPr>
            <w:tcW w:w="1715" w:type="dxa"/>
          </w:tcPr>
          <w:p w:rsidR="002B121C" w:rsidRPr="00D058CA" w:rsidRDefault="007F2BA2">
            <w:pPr>
              <w:pStyle w:val="Normalny1"/>
              <w:rPr>
                <w:lang w:val="en-GB"/>
              </w:rPr>
            </w:pPr>
            <w:r w:rsidRPr="007F2BA2">
              <w:rPr>
                <w:lang w:val="en-GB"/>
              </w:rPr>
              <w:t>Compassion Fatigue Short Scale (CF-Short)</w:t>
            </w:r>
          </w:p>
        </w:tc>
        <w:tc>
          <w:tcPr>
            <w:tcW w:w="1694" w:type="dxa"/>
          </w:tcPr>
          <w:p w:rsidR="002B121C" w:rsidRDefault="00882F43">
            <w:pPr>
              <w:pStyle w:val="Normalny1"/>
            </w:pPr>
            <w:r>
              <w:t xml:space="preserve">Adams, </w:t>
            </w:r>
            <w:proofErr w:type="spellStart"/>
            <w:r>
              <w:t>Boscarino</w:t>
            </w:r>
            <w:proofErr w:type="spellEnd"/>
            <w:r>
              <w:t xml:space="preserve">, </w:t>
            </w:r>
            <w:proofErr w:type="spellStart"/>
            <w:r>
              <w:t>Figley</w:t>
            </w:r>
            <w:proofErr w:type="spellEnd"/>
            <w:r>
              <w:t xml:space="preserve"> (2006)</w:t>
            </w:r>
          </w:p>
        </w:tc>
        <w:tc>
          <w:tcPr>
            <w:tcW w:w="1661" w:type="dxa"/>
          </w:tcPr>
          <w:p w:rsidR="002B121C" w:rsidRDefault="00882F43">
            <w:pPr>
              <w:pStyle w:val="Normalny1"/>
            </w:pPr>
            <w:r>
              <w:t>13</w:t>
            </w:r>
          </w:p>
        </w:tc>
        <w:tc>
          <w:tcPr>
            <w:tcW w:w="1723" w:type="dxa"/>
          </w:tcPr>
          <w:p w:rsidR="002B121C" w:rsidRDefault="00882F43">
            <w:pPr>
              <w:pStyle w:val="Normalny1"/>
            </w:pPr>
            <w:r>
              <w:t>Wtórna trauma, wypalenie</w:t>
            </w:r>
          </w:p>
        </w:tc>
        <w:tc>
          <w:tcPr>
            <w:tcW w:w="2233" w:type="dxa"/>
          </w:tcPr>
          <w:p w:rsidR="002B121C" w:rsidRDefault="00882F43">
            <w:pPr>
              <w:pStyle w:val="Normalny1"/>
            </w:pPr>
            <w:r>
              <w:t xml:space="preserve">Pracownicy socjalni (Adams i in., 2006); personel medyczny </w:t>
            </w:r>
            <w:r>
              <w:br/>
            </w:r>
            <w:r>
              <w:t xml:space="preserve">i strażacy (Sun i in., 2016); pracownicy ochrony zdrowia </w:t>
            </w:r>
            <w:r>
              <w:lastRenderedPageBreak/>
              <w:t>psychiczneg</w:t>
            </w:r>
            <w:r>
              <w:t>o (</w:t>
            </w:r>
            <w:proofErr w:type="spellStart"/>
            <w:r>
              <w:t>Vacca</w:t>
            </w:r>
            <w:proofErr w:type="spellEnd"/>
            <w:r>
              <w:t xml:space="preserve"> i in., 2023)</w:t>
            </w:r>
          </w:p>
        </w:tc>
      </w:tr>
      <w:tr w:rsidR="002B121C" w:rsidTr="00472B24">
        <w:tc>
          <w:tcPr>
            <w:tcW w:w="1715" w:type="dxa"/>
          </w:tcPr>
          <w:p w:rsidR="002B121C" w:rsidRDefault="00882F43">
            <w:pPr>
              <w:pStyle w:val="Normalny1"/>
            </w:pPr>
            <w:proofErr w:type="spellStart"/>
            <w:r>
              <w:lastRenderedPageBreak/>
              <w:t>Secondary</w:t>
            </w:r>
            <w:proofErr w:type="spellEnd"/>
            <w:r>
              <w:t xml:space="preserve"> Trauma </w:t>
            </w:r>
            <w:proofErr w:type="spellStart"/>
            <w:r>
              <w:t>Questionnaire</w:t>
            </w:r>
            <w:proofErr w:type="spellEnd"/>
            <w:r>
              <w:t xml:space="preserve"> (STQ)</w:t>
            </w:r>
          </w:p>
        </w:tc>
        <w:tc>
          <w:tcPr>
            <w:tcW w:w="1694" w:type="dxa"/>
          </w:tcPr>
          <w:p w:rsidR="002B121C" w:rsidRDefault="00882F43">
            <w:pPr>
              <w:pStyle w:val="Normalny1"/>
            </w:pPr>
            <w:r>
              <w:t xml:space="preserve">Motta, </w:t>
            </w:r>
            <w:proofErr w:type="spellStart"/>
            <w:r>
              <w:t>Kefer</w:t>
            </w:r>
            <w:proofErr w:type="spellEnd"/>
            <w:r>
              <w:t xml:space="preserve">, Hertz, </w:t>
            </w:r>
            <w:proofErr w:type="spellStart"/>
            <w:r>
              <w:t>Hafeez</w:t>
            </w:r>
            <w:proofErr w:type="spellEnd"/>
            <w:r>
              <w:t xml:space="preserve"> (1999)</w:t>
            </w:r>
          </w:p>
        </w:tc>
        <w:tc>
          <w:tcPr>
            <w:tcW w:w="1661" w:type="dxa"/>
          </w:tcPr>
          <w:p w:rsidR="002B121C" w:rsidRDefault="00882F43">
            <w:pPr>
              <w:pStyle w:val="Normalny1"/>
            </w:pPr>
            <w:r>
              <w:t>20</w:t>
            </w:r>
          </w:p>
        </w:tc>
        <w:tc>
          <w:tcPr>
            <w:tcW w:w="1723" w:type="dxa"/>
          </w:tcPr>
          <w:p w:rsidR="002B121C" w:rsidRDefault="00882F43">
            <w:pPr>
              <w:pStyle w:val="Normalny1"/>
            </w:pPr>
            <w:r>
              <w:t>Objawy STS (intruzja, unikanie, pobudzenie)</w:t>
            </w:r>
          </w:p>
        </w:tc>
        <w:tc>
          <w:tcPr>
            <w:tcW w:w="2233" w:type="dxa"/>
          </w:tcPr>
          <w:p w:rsidR="002B121C" w:rsidRDefault="00882F43">
            <w:pPr>
              <w:pStyle w:val="Normalny1"/>
            </w:pPr>
            <w:r>
              <w:t xml:space="preserve">Studenci psychologii, terapeuci (Motta </w:t>
            </w:r>
            <w:r>
              <w:br/>
            </w:r>
            <w:r>
              <w:t>i in., 1999); personel medyczny, nauczyciele, pracownicy socjalni (</w:t>
            </w:r>
            <w:proofErr w:type="spellStart"/>
            <w:r>
              <w:t>Yan</w:t>
            </w:r>
            <w:proofErr w:type="spellEnd"/>
            <w:r>
              <w:t xml:space="preserve"> i </w:t>
            </w:r>
            <w:r>
              <w:t>in., 2020); psychoterapeuci (</w:t>
            </w:r>
            <w:proofErr w:type="spellStart"/>
            <w:r>
              <w:t>Jacobsen</w:t>
            </w:r>
            <w:proofErr w:type="spellEnd"/>
            <w:r>
              <w:t>, 2013)</w:t>
            </w:r>
          </w:p>
        </w:tc>
      </w:tr>
      <w:tr w:rsidR="002B121C" w:rsidTr="00472B24">
        <w:tc>
          <w:tcPr>
            <w:tcW w:w="1715" w:type="dxa"/>
          </w:tcPr>
          <w:p w:rsidR="002B121C" w:rsidRDefault="00882F43">
            <w:pPr>
              <w:pStyle w:val="Normalny1"/>
            </w:pPr>
            <w:proofErr w:type="spellStart"/>
            <w:r>
              <w:t>Vicarious</w:t>
            </w:r>
            <w:proofErr w:type="spellEnd"/>
            <w:r>
              <w:t xml:space="preserve"> Trauma </w:t>
            </w:r>
            <w:proofErr w:type="spellStart"/>
            <w:r>
              <w:t>Scale</w:t>
            </w:r>
            <w:proofErr w:type="spellEnd"/>
            <w:r>
              <w:t xml:space="preserve"> (VTS)</w:t>
            </w:r>
          </w:p>
        </w:tc>
        <w:tc>
          <w:tcPr>
            <w:tcW w:w="1694" w:type="dxa"/>
          </w:tcPr>
          <w:p w:rsidR="002B121C" w:rsidRDefault="00882F43">
            <w:pPr>
              <w:pStyle w:val="Normalny1"/>
            </w:pPr>
            <w:proofErr w:type="spellStart"/>
            <w:r>
              <w:t>Vrklevski</w:t>
            </w:r>
            <w:proofErr w:type="spellEnd"/>
            <w:r>
              <w:t xml:space="preserve"> </w:t>
            </w:r>
            <w:r w:rsidR="00B12CA9">
              <w:br/>
            </w:r>
            <w:r>
              <w:t>i Franklin (2008)</w:t>
            </w:r>
          </w:p>
        </w:tc>
        <w:tc>
          <w:tcPr>
            <w:tcW w:w="1661" w:type="dxa"/>
          </w:tcPr>
          <w:p w:rsidR="002B121C" w:rsidRDefault="00882F43">
            <w:pPr>
              <w:pStyle w:val="Normalny1"/>
            </w:pPr>
            <w:r>
              <w:t>8</w:t>
            </w:r>
          </w:p>
        </w:tc>
        <w:tc>
          <w:tcPr>
            <w:tcW w:w="1723" w:type="dxa"/>
          </w:tcPr>
          <w:p w:rsidR="002B121C" w:rsidRDefault="00882F43">
            <w:pPr>
              <w:pStyle w:val="Normalny1"/>
            </w:pPr>
            <w:r>
              <w:t xml:space="preserve">Zmiany przekonań </w:t>
            </w:r>
            <w:r w:rsidR="004D758C">
              <w:br/>
            </w:r>
            <w:r>
              <w:t>i schematów poznawczych</w:t>
            </w:r>
          </w:p>
        </w:tc>
        <w:tc>
          <w:tcPr>
            <w:tcW w:w="2233" w:type="dxa"/>
          </w:tcPr>
          <w:p w:rsidR="002B121C" w:rsidRDefault="00882F43">
            <w:pPr>
              <w:pStyle w:val="Normalny1"/>
            </w:pPr>
            <w:r>
              <w:t>Prawnicy (</w:t>
            </w:r>
            <w:proofErr w:type="spellStart"/>
            <w:r>
              <w:t>Vrklevski</w:t>
            </w:r>
            <w:proofErr w:type="spellEnd"/>
            <w:r>
              <w:t xml:space="preserve"> i Franklin, 2008), pracownicy socjalni (</w:t>
            </w:r>
            <w:proofErr w:type="spellStart"/>
            <w:r>
              <w:t>Aguiar-Fernández</w:t>
            </w:r>
            <w:proofErr w:type="spellEnd"/>
            <w:r>
              <w:t xml:space="preserve"> </w:t>
            </w:r>
            <w:r>
              <w:br/>
            </w:r>
            <w:r>
              <w:t>i in., 2022); pracownicy ochro</w:t>
            </w:r>
            <w:r>
              <w:t>ny zdrowia psychicznego (</w:t>
            </w:r>
            <w:proofErr w:type="spellStart"/>
            <w:r>
              <w:t>Leung</w:t>
            </w:r>
            <w:proofErr w:type="spellEnd"/>
            <w:r>
              <w:t xml:space="preserve"> i in., 2023)</w:t>
            </w:r>
          </w:p>
        </w:tc>
      </w:tr>
      <w:tr w:rsidR="002B121C" w:rsidTr="00472B24">
        <w:tc>
          <w:tcPr>
            <w:tcW w:w="1715" w:type="dxa"/>
          </w:tcPr>
          <w:p w:rsidR="002B121C" w:rsidRPr="00D058CA" w:rsidRDefault="007F2BA2">
            <w:pPr>
              <w:pStyle w:val="Normalny1"/>
              <w:rPr>
                <w:lang w:val="en-GB"/>
              </w:rPr>
            </w:pPr>
            <w:r w:rsidRPr="007F2BA2">
              <w:rPr>
                <w:lang w:val="en-GB"/>
              </w:rPr>
              <w:t>Impact of Event Scale – Revised (IES-R)</w:t>
            </w:r>
          </w:p>
        </w:tc>
        <w:tc>
          <w:tcPr>
            <w:tcW w:w="1694" w:type="dxa"/>
          </w:tcPr>
          <w:p w:rsidR="002B121C" w:rsidRDefault="00882F43">
            <w:pPr>
              <w:pStyle w:val="Normalny1"/>
            </w:pPr>
            <w:r>
              <w:t xml:space="preserve">Weiss </w:t>
            </w:r>
            <w:r w:rsidR="00B12CA9">
              <w:br/>
            </w:r>
            <w:r>
              <w:t xml:space="preserve">i </w:t>
            </w:r>
            <w:proofErr w:type="spellStart"/>
            <w:r>
              <w:t>Marmar</w:t>
            </w:r>
            <w:proofErr w:type="spellEnd"/>
            <w:r>
              <w:t xml:space="preserve"> (1997)</w:t>
            </w:r>
          </w:p>
        </w:tc>
        <w:tc>
          <w:tcPr>
            <w:tcW w:w="1661" w:type="dxa"/>
          </w:tcPr>
          <w:p w:rsidR="002B121C" w:rsidRDefault="00882F43">
            <w:pPr>
              <w:pStyle w:val="Normalny1"/>
            </w:pPr>
            <w:r>
              <w:t>22</w:t>
            </w:r>
          </w:p>
        </w:tc>
        <w:tc>
          <w:tcPr>
            <w:tcW w:w="1723" w:type="dxa"/>
          </w:tcPr>
          <w:p w:rsidR="002B121C" w:rsidRDefault="00882F43">
            <w:pPr>
              <w:pStyle w:val="Normalny1"/>
            </w:pPr>
            <w:r>
              <w:t>Intruzja, unikanie, pobudzenie</w:t>
            </w:r>
          </w:p>
        </w:tc>
        <w:tc>
          <w:tcPr>
            <w:tcW w:w="2233" w:type="dxa"/>
          </w:tcPr>
          <w:p w:rsidR="002B121C" w:rsidRDefault="00882F43">
            <w:pPr>
              <w:pStyle w:val="Normalny1"/>
            </w:pPr>
            <w:r>
              <w:t>Pracownicy służb pomocowych (</w:t>
            </w:r>
            <w:proofErr w:type="spellStart"/>
            <w:r>
              <w:t>Morin</w:t>
            </w:r>
            <w:proofErr w:type="spellEnd"/>
            <w:r>
              <w:t>, i in., 2013); pielęgniarki (</w:t>
            </w:r>
            <w:proofErr w:type="spellStart"/>
            <w:r>
              <w:t>Jobe</w:t>
            </w:r>
            <w:proofErr w:type="spellEnd"/>
            <w:r>
              <w:t xml:space="preserve"> </w:t>
            </w:r>
            <w:r>
              <w:br/>
            </w:r>
            <w:r>
              <w:t>i in., 2021); służby ratunkowe (</w:t>
            </w:r>
            <w:proofErr w:type="spellStart"/>
            <w:r>
              <w:t>Noda</w:t>
            </w:r>
            <w:proofErr w:type="spellEnd"/>
            <w:r>
              <w:t xml:space="preserve"> </w:t>
            </w:r>
            <w:r>
              <w:br/>
            </w:r>
            <w:r>
              <w:t>i in.,</w:t>
            </w:r>
            <w:r>
              <w:t xml:space="preserve"> 2019)</w:t>
            </w:r>
          </w:p>
        </w:tc>
      </w:tr>
      <w:tr w:rsidR="002B121C" w:rsidTr="00472B24">
        <w:tc>
          <w:tcPr>
            <w:tcW w:w="1715" w:type="dxa"/>
          </w:tcPr>
          <w:p w:rsidR="002B121C" w:rsidRDefault="00882F43">
            <w:pPr>
              <w:pStyle w:val="Normalny1"/>
            </w:pPr>
            <w:proofErr w:type="spellStart"/>
            <w:r>
              <w:t>Posttraumatic</w:t>
            </w:r>
            <w:proofErr w:type="spellEnd"/>
            <w:r>
              <w:t xml:space="preserve"> Growth </w:t>
            </w:r>
            <w:proofErr w:type="spellStart"/>
            <w:r>
              <w:t>Inventory</w:t>
            </w:r>
            <w:proofErr w:type="spellEnd"/>
            <w:r>
              <w:t xml:space="preserve"> (PTGI)</w:t>
            </w:r>
          </w:p>
        </w:tc>
        <w:tc>
          <w:tcPr>
            <w:tcW w:w="1694" w:type="dxa"/>
          </w:tcPr>
          <w:p w:rsidR="002B121C" w:rsidRDefault="00882F43">
            <w:pPr>
              <w:pStyle w:val="Normalny1"/>
            </w:pPr>
            <w:r>
              <w:t>Tedeschi i Calhoun (1996)</w:t>
            </w:r>
          </w:p>
        </w:tc>
        <w:tc>
          <w:tcPr>
            <w:tcW w:w="1661" w:type="dxa"/>
          </w:tcPr>
          <w:p w:rsidR="002B121C" w:rsidRDefault="00882F43">
            <w:pPr>
              <w:pStyle w:val="Normalny1"/>
            </w:pPr>
            <w:r>
              <w:t>21</w:t>
            </w:r>
          </w:p>
        </w:tc>
        <w:tc>
          <w:tcPr>
            <w:tcW w:w="1723" w:type="dxa"/>
          </w:tcPr>
          <w:p w:rsidR="002B121C" w:rsidRDefault="00882F43">
            <w:pPr>
              <w:pStyle w:val="Normalny1"/>
            </w:pPr>
            <w:r>
              <w:t xml:space="preserve">Relacje </w:t>
            </w:r>
            <w:r w:rsidR="00B12CA9">
              <w:br/>
            </w:r>
            <w:r>
              <w:t xml:space="preserve">z innymi, nowa perspektywa życiowa, docenianie </w:t>
            </w:r>
            <w:r>
              <w:lastRenderedPageBreak/>
              <w:t>życia, rozwój duchowy</w:t>
            </w:r>
          </w:p>
        </w:tc>
        <w:tc>
          <w:tcPr>
            <w:tcW w:w="2233" w:type="dxa"/>
          </w:tcPr>
          <w:p w:rsidR="002B121C" w:rsidRDefault="00882F43">
            <w:pPr>
              <w:pStyle w:val="Normalny1"/>
            </w:pPr>
            <w:r>
              <w:lastRenderedPageBreak/>
              <w:t xml:space="preserve">Terapeuci (Tedeschi i Calhoun, 1996); pracownicy ochrony zdrowia psychicznego </w:t>
            </w:r>
            <w:r>
              <w:br/>
            </w:r>
            <w:r>
              <w:lastRenderedPageBreak/>
              <w:t>i pracownicy socjalni (</w:t>
            </w:r>
            <w:proofErr w:type="spellStart"/>
            <w:r>
              <w:t>Tosone</w:t>
            </w:r>
            <w:proofErr w:type="spellEnd"/>
            <w:r>
              <w:t xml:space="preserve"> </w:t>
            </w:r>
            <w:r>
              <w:br/>
            </w:r>
            <w:r>
              <w:t xml:space="preserve">i in., 2016); strażacy (Kwak i </w:t>
            </w:r>
            <w:proofErr w:type="spellStart"/>
            <w:r>
              <w:t>Bee</w:t>
            </w:r>
            <w:proofErr w:type="spellEnd"/>
            <w:r>
              <w:t>, 2017); pielęgniarki (</w:t>
            </w:r>
            <w:proofErr w:type="spellStart"/>
            <w:r>
              <w:t>Zeng</w:t>
            </w:r>
            <w:proofErr w:type="spellEnd"/>
            <w:r>
              <w:t xml:space="preserve"> </w:t>
            </w:r>
            <w:r>
              <w:br/>
            </w:r>
            <w:r>
              <w:t>i in., 2024); personel medyczny (</w:t>
            </w:r>
            <w:proofErr w:type="spellStart"/>
            <w:r>
              <w:t>Puri</w:t>
            </w:r>
            <w:proofErr w:type="spellEnd"/>
            <w:r>
              <w:t xml:space="preserve"> </w:t>
            </w:r>
            <w:r>
              <w:br/>
            </w:r>
            <w:r>
              <w:t>i in., 2025)</w:t>
            </w:r>
          </w:p>
        </w:tc>
      </w:tr>
      <w:tr w:rsidR="002B121C" w:rsidTr="00472B24">
        <w:tc>
          <w:tcPr>
            <w:tcW w:w="1715" w:type="dxa"/>
          </w:tcPr>
          <w:p w:rsidR="002B121C" w:rsidRDefault="00882F43">
            <w:pPr>
              <w:pStyle w:val="Normalny1"/>
            </w:pPr>
            <w:proofErr w:type="spellStart"/>
            <w:r>
              <w:lastRenderedPageBreak/>
              <w:t>Vicarious</w:t>
            </w:r>
            <w:proofErr w:type="spellEnd"/>
            <w:r>
              <w:t xml:space="preserve"> Resilience </w:t>
            </w:r>
            <w:proofErr w:type="spellStart"/>
            <w:r>
              <w:t>Scale</w:t>
            </w:r>
            <w:proofErr w:type="spellEnd"/>
            <w:r>
              <w:t xml:space="preserve"> (VRS)</w:t>
            </w:r>
          </w:p>
        </w:tc>
        <w:tc>
          <w:tcPr>
            <w:tcW w:w="1694" w:type="dxa"/>
          </w:tcPr>
          <w:p w:rsidR="002B121C" w:rsidRDefault="00882F43">
            <w:pPr>
              <w:pStyle w:val="Normalny1"/>
            </w:pPr>
            <w:proofErr w:type="spellStart"/>
            <w:r>
              <w:t>Hernández</w:t>
            </w:r>
            <w:proofErr w:type="spellEnd"/>
            <w:r>
              <w:t xml:space="preserve">, </w:t>
            </w:r>
            <w:proofErr w:type="spellStart"/>
            <w:r>
              <w:t>Engstrom</w:t>
            </w:r>
            <w:proofErr w:type="spellEnd"/>
            <w:r>
              <w:t xml:space="preserve">, </w:t>
            </w:r>
            <w:proofErr w:type="spellStart"/>
            <w:r>
              <w:t>Gangsei</w:t>
            </w:r>
            <w:proofErr w:type="spellEnd"/>
            <w:r>
              <w:t xml:space="preserve"> (2010)</w:t>
            </w:r>
          </w:p>
        </w:tc>
        <w:tc>
          <w:tcPr>
            <w:tcW w:w="1661" w:type="dxa"/>
          </w:tcPr>
          <w:p w:rsidR="002B121C" w:rsidRDefault="00882F43">
            <w:pPr>
              <w:pStyle w:val="Normalny1"/>
            </w:pPr>
            <w:r>
              <w:t>27</w:t>
            </w:r>
          </w:p>
        </w:tc>
        <w:tc>
          <w:tcPr>
            <w:tcW w:w="1723" w:type="dxa"/>
          </w:tcPr>
          <w:p w:rsidR="002B121C" w:rsidRDefault="00882F43">
            <w:pPr>
              <w:pStyle w:val="Normalny1"/>
            </w:pPr>
            <w:r>
              <w:t xml:space="preserve">Zmiany pozytywne u </w:t>
            </w:r>
            <w:proofErr w:type="spellStart"/>
            <w:r>
              <w:t>pomagaczy</w:t>
            </w:r>
            <w:proofErr w:type="spellEnd"/>
            <w:r>
              <w:t xml:space="preserve"> wynikają</w:t>
            </w:r>
            <w:r>
              <w:t>ce z obserwacji odporności klientów</w:t>
            </w:r>
          </w:p>
        </w:tc>
        <w:tc>
          <w:tcPr>
            <w:tcW w:w="2233" w:type="dxa"/>
          </w:tcPr>
          <w:p w:rsidR="002B121C" w:rsidRDefault="00882F43">
            <w:pPr>
              <w:pStyle w:val="Normalny1"/>
            </w:pPr>
            <w:r>
              <w:t>Terapeuci (</w:t>
            </w:r>
            <w:proofErr w:type="spellStart"/>
            <w:r>
              <w:t>Hernández</w:t>
            </w:r>
            <w:proofErr w:type="spellEnd"/>
            <w:r>
              <w:t xml:space="preserve"> i in., 2010); personel medyczny (</w:t>
            </w:r>
            <w:proofErr w:type="spellStart"/>
            <w:r>
              <w:t>Killian</w:t>
            </w:r>
            <w:proofErr w:type="spellEnd"/>
            <w:r>
              <w:t xml:space="preserve"> </w:t>
            </w:r>
            <w:r>
              <w:br/>
            </w:r>
            <w:r>
              <w:t xml:space="preserve">i in., 2017); adwokaci (Scott </w:t>
            </w:r>
            <w:r>
              <w:br/>
            </w:r>
            <w:r>
              <w:t>i in., 2023)</w:t>
            </w:r>
          </w:p>
        </w:tc>
      </w:tr>
    </w:tbl>
    <w:p w:rsidR="002B121C" w:rsidRDefault="002B121C">
      <w:pPr>
        <w:pStyle w:val="Normalny1"/>
        <w:spacing w:after="240"/>
        <w:jc w:val="both"/>
      </w:pPr>
    </w:p>
    <w:p w:rsidR="002B121C" w:rsidRPr="002B121C" w:rsidRDefault="007F2BA2">
      <w:pPr>
        <w:pStyle w:val="Normalny1"/>
        <w:rPr>
          <w:b/>
          <w:bCs/>
        </w:rPr>
      </w:pPr>
      <w:r w:rsidRPr="007F2BA2">
        <w:rPr>
          <w:b/>
          <w:bCs/>
        </w:rPr>
        <w:t xml:space="preserve">Tabela 2 </w:t>
      </w:r>
    </w:p>
    <w:p w:rsidR="002B121C" w:rsidRDefault="007F2BA2">
      <w:pPr>
        <w:pStyle w:val="Normalny1"/>
      </w:pPr>
      <w:r w:rsidRPr="007F2BA2">
        <w:rPr>
          <w:i/>
          <w:iCs/>
        </w:rPr>
        <w:t>Narzędzia polskie i adaptacje</w:t>
      </w:r>
    </w:p>
    <w:tbl>
      <w:tblPr>
        <w:tblStyle w:val="Tabela-Siatka"/>
        <w:tblW w:w="9026" w:type="dxa"/>
        <w:tblLayout w:type="fixed"/>
        <w:tblLook w:val="04A0"/>
      </w:tblPr>
      <w:tblGrid>
        <w:gridCol w:w="2003"/>
        <w:gridCol w:w="1436"/>
        <w:gridCol w:w="1325"/>
        <w:gridCol w:w="2196"/>
        <w:gridCol w:w="2066"/>
      </w:tblGrid>
      <w:tr w:rsidR="002B121C" w:rsidTr="00472B24">
        <w:tc>
          <w:tcPr>
            <w:tcW w:w="2003" w:type="dxa"/>
          </w:tcPr>
          <w:p w:rsidR="002B121C" w:rsidRDefault="00882F43">
            <w:pPr>
              <w:pStyle w:val="Normalny1"/>
            </w:pPr>
            <w:r>
              <w:t>Nazwa narzędzia</w:t>
            </w:r>
          </w:p>
        </w:tc>
        <w:tc>
          <w:tcPr>
            <w:tcW w:w="1436" w:type="dxa"/>
          </w:tcPr>
          <w:p w:rsidR="002B121C" w:rsidRDefault="00882F43">
            <w:pPr>
              <w:pStyle w:val="Normalny1"/>
            </w:pPr>
            <w:r>
              <w:t>Autorzy</w:t>
            </w:r>
          </w:p>
        </w:tc>
        <w:tc>
          <w:tcPr>
            <w:tcW w:w="1325" w:type="dxa"/>
          </w:tcPr>
          <w:p w:rsidR="002B121C" w:rsidRDefault="00882F43">
            <w:pPr>
              <w:pStyle w:val="Normalny1"/>
            </w:pPr>
            <w:r>
              <w:t>Liczba pozycji testu</w:t>
            </w:r>
          </w:p>
        </w:tc>
        <w:tc>
          <w:tcPr>
            <w:tcW w:w="2196" w:type="dxa"/>
          </w:tcPr>
          <w:p w:rsidR="002B121C" w:rsidRDefault="00882F43">
            <w:pPr>
              <w:pStyle w:val="Normalny1"/>
            </w:pPr>
            <w:r>
              <w:t xml:space="preserve">Skale/podskale i zakres </w:t>
            </w:r>
            <w:r>
              <w:t>pomiaru</w:t>
            </w:r>
          </w:p>
        </w:tc>
        <w:tc>
          <w:tcPr>
            <w:tcW w:w="2066" w:type="dxa"/>
          </w:tcPr>
          <w:p w:rsidR="002B121C" w:rsidRDefault="00882F43">
            <w:pPr>
              <w:pStyle w:val="Normalny1"/>
            </w:pPr>
            <w:r>
              <w:t>Przykłady grup zawodowych</w:t>
            </w:r>
          </w:p>
        </w:tc>
      </w:tr>
      <w:tr w:rsidR="002B121C" w:rsidTr="00472B24">
        <w:tc>
          <w:tcPr>
            <w:tcW w:w="2003" w:type="dxa"/>
          </w:tcPr>
          <w:p w:rsidR="002B121C" w:rsidRDefault="00882F43">
            <w:pPr>
              <w:pStyle w:val="Normalny1"/>
            </w:pPr>
            <w:r>
              <w:t>Inwentarz Potraumatycznego Rozwoju (IPR)</w:t>
            </w:r>
          </w:p>
        </w:tc>
        <w:tc>
          <w:tcPr>
            <w:tcW w:w="1436" w:type="dxa"/>
          </w:tcPr>
          <w:p w:rsidR="002B121C" w:rsidRDefault="00882F43">
            <w:pPr>
              <w:pStyle w:val="Normalny1"/>
            </w:pPr>
            <w:r>
              <w:t xml:space="preserve">Ogińska-Bulik i </w:t>
            </w:r>
            <w:proofErr w:type="spellStart"/>
            <w:r>
              <w:t>Juczyński</w:t>
            </w:r>
            <w:proofErr w:type="spellEnd"/>
            <w:r>
              <w:t xml:space="preserve"> (2010)</w:t>
            </w:r>
          </w:p>
        </w:tc>
        <w:tc>
          <w:tcPr>
            <w:tcW w:w="1325" w:type="dxa"/>
          </w:tcPr>
          <w:p w:rsidR="002B121C" w:rsidRDefault="00882F43">
            <w:pPr>
              <w:pStyle w:val="Normalny1"/>
            </w:pPr>
            <w:r>
              <w:t>21</w:t>
            </w:r>
          </w:p>
        </w:tc>
        <w:tc>
          <w:tcPr>
            <w:tcW w:w="2196" w:type="dxa"/>
          </w:tcPr>
          <w:p w:rsidR="002B121C" w:rsidRDefault="00882F43">
            <w:pPr>
              <w:pStyle w:val="Normalny1"/>
            </w:pPr>
            <w:r>
              <w:t xml:space="preserve">Zmiana percepcji siebie, relacje </w:t>
            </w:r>
            <w:r w:rsidR="00B12CA9">
              <w:br/>
            </w:r>
            <w:r>
              <w:t>z innymi, docenianie życia, zmiany duchowe</w:t>
            </w:r>
          </w:p>
        </w:tc>
        <w:tc>
          <w:tcPr>
            <w:tcW w:w="2066" w:type="dxa"/>
          </w:tcPr>
          <w:p w:rsidR="002B121C" w:rsidRDefault="00882F43">
            <w:pPr>
              <w:pStyle w:val="Normalny1"/>
            </w:pPr>
            <w:r>
              <w:t xml:space="preserve">Strażacy, pielęgniarki, studenci medycyny (Ogińska-Bulik </w:t>
            </w:r>
            <w:r>
              <w:br/>
            </w:r>
            <w:r>
              <w:t xml:space="preserve">i </w:t>
            </w:r>
            <w:proofErr w:type="spellStart"/>
            <w:r>
              <w:t>Juczyński</w:t>
            </w:r>
            <w:proofErr w:type="spellEnd"/>
            <w:r>
              <w:t xml:space="preserve">, 2010); ratownicy medyczni (Ogińska-Bulik </w:t>
            </w:r>
            <w:r>
              <w:br/>
            </w:r>
            <w:r>
              <w:t xml:space="preserve">i </w:t>
            </w:r>
            <w:proofErr w:type="spellStart"/>
            <w:r>
              <w:t>Juczyński</w:t>
            </w:r>
            <w:proofErr w:type="spellEnd"/>
            <w:r>
              <w:t>, 2016)</w:t>
            </w:r>
          </w:p>
        </w:tc>
      </w:tr>
      <w:tr w:rsidR="002B121C" w:rsidTr="00472B24">
        <w:tc>
          <w:tcPr>
            <w:tcW w:w="2003" w:type="dxa"/>
          </w:tcPr>
          <w:p w:rsidR="002B121C" w:rsidRPr="00D058CA" w:rsidRDefault="007F2BA2">
            <w:pPr>
              <w:pStyle w:val="Normalny1"/>
              <w:rPr>
                <w:lang w:val="en-GB"/>
              </w:rPr>
            </w:pPr>
            <w:r w:rsidRPr="007F2BA2">
              <w:rPr>
                <w:lang w:val="en-GB"/>
              </w:rPr>
              <w:t xml:space="preserve">Secondary </w:t>
            </w:r>
            <w:r w:rsidRPr="007F2BA2">
              <w:rPr>
                <w:lang w:val="en-GB"/>
              </w:rPr>
              <w:lastRenderedPageBreak/>
              <w:t xml:space="preserve">Traumatic Stress Scale (STSS) </w:t>
            </w:r>
            <w:proofErr w:type="spellStart"/>
            <w:r w:rsidRPr="007F2BA2">
              <w:rPr>
                <w:lang w:val="en-GB"/>
              </w:rPr>
              <w:t>polska</w:t>
            </w:r>
            <w:proofErr w:type="spellEnd"/>
            <w:r w:rsidRPr="007F2BA2">
              <w:rPr>
                <w:lang w:val="en-GB"/>
              </w:rPr>
              <w:t xml:space="preserve"> </w:t>
            </w:r>
            <w:proofErr w:type="spellStart"/>
            <w:r w:rsidRPr="007F2BA2">
              <w:rPr>
                <w:lang w:val="en-GB"/>
              </w:rPr>
              <w:t>adaptacja</w:t>
            </w:r>
            <w:proofErr w:type="spellEnd"/>
          </w:p>
        </w:tc>
        <w:tc>
          <w:tcPr>
            <w:tcW w:w="1436" w:type="dxa"/>
          </w:tcPr>
          <w:p w:rsidR="002B121C" w:rsidRDefault="00882F43">
            <w:pPr>
              <w:pStyle w:val="Normalny1"/>
            </w:pPr>
            <w:r>
              <w:lastRenderedPageBreak/>
              <w:t xml:space="preserve">Cieślak, R., </w:t>
            </w:r>
            <w:r>
              <w:lastRenderedPageBreak/>
              <w:t>i in. (2014)</w:t>
            </w:r>
          </w:p>
        </w:tc>
        <w:tc>
          <w:tcPr>
            <w:tcW w:w="1325" w:type="dxa"/>
          </w:tcPr>
          <w:p w:rsidR="002B121C" w:rsidRDefault="00882F43">
            <w:pPr>
              <w:pStyle w:val="Normalny1"/>
            </w:pPr>
            <w:r>
              <w:lastRenderedPageBreak/>
              <w:t>17</w:t>
            </w:r>
          </w:p>
        </w:tc>
        <w:tc>
          <w:tcPr>
            <w:tcW w:w="2196" w:type="dxa"/>
          </w:tcPr>
          <w:p w:rsidR="002B121C" w:rsidRDefault="00882F43">
            <w:pPr>
              <w:pStyle w:val="Normalny1"/>
            </w:pPr>
            <w:r>
              <w:t xml:space="preserve">Intruzja, unikanie, </w:t>
            </w:r>
            <w:r>
              <w:lastRenderedPageBreak/>
              <w:t>pobudzenie</w:t>
            </w:r>
          </w:p>
        </w:tc>
        <w:tc>
          <w:tcPr>
            <w:tcW w:w="2066" w:type="dxa"/>
          </w:tcPr>
          <w:p w:rsidR="002B121C" w:rsidRDefault="00882F43">
            <w:pPr>
              <w:pStyle w:val="Normalny1"/>
            </w:pPr>
            <w:r>
              <w:lastRenderedPageBreak/>
              <w:t xml:space="preserve">Pielęgniarki, </w:t>
            </w:r>
            <w:r>
              <w:lastRenderedPageBreak/>
              <w:t>ratownicy medyczni (Cieślak i in., 2014); pielęgni</w:t>
            </w:r>
            <w:r>
              <w:t xml:space="preserve">arki opieki paliatywnej (Ogińska-Bulik, 2018); terapeuci, pracownicy socjalni, kuratorzy sądowi (Ogińska-Bulik i in., 2023) </w:t>
            </w:r>
          </w:p>
        </w:tc>
      </w:tr>
      <w:tr w:rsidR="002B121C" w:rsidTr="00472B24">
        <w:tc>
          <w:tcPr>
            <w:tcW w:w="2003" w:type="dxa"/>
          </w:tcPr>
          <w:p w:rsidR="002B121C" w:rsidRPr="00D058CA" w:rsidRDefault="007F2BA2">
            <w:pPr>
              <w:pStyle w:val="Normalny1"/>
              <w:rPr>
                <w:lang w:val="en-GB"/>
              </w:rPr>
            </w:pPr>
            <w:proofErr w:type="spellStart"/>
            <w:r w:rsidRPr="007F2BA2">
              <w:rPr>
                <w:lang w:val="en-GB"/>
              </w:rPr>
              <w:lastRenderedPageBreak/>
              <w:t>Kwestionariusz</w:t>
            </w:r>
            <w:proofErr w:type="spellEnd"/>
            <w:r w:rsidRPr="007F2BA2">
              <w:rPr>
                <w:lang w:val="en-GB"/>
              </w:rPr>
              <w:t xml:space="preserve"> Nowej </w:t>
            </w:r>
            <w:proofErr w:type="spellStart"/>
            <w:r w:rsidRPr="007F2BA2">
              <w:rPr>
                <w:lang w:val="en-GB"/>
              </w:rPr>
              <w:t>Perspektywy</w:t>
            </w:r>
            <w:proofErr w:type="spellEnd"/>
            <w:r w:rsidRPr="007F2BA2">
              <w:rPr>
                <w:lang w:val="en-GB"/>
              </w:rPr>
              <w:t xml:space="preserve"> (Changes in Outlook Questionnaire – Short Form)</w:t>
            </w:r>
          </w:p>
        </w:tc>
        <w:tc>
          <w:tcPr>
            <w:tcW w:w="1436" w:type="dxa"/>
          </w:tcPr>
          <w:p w:rsidR="002B121C" w:rsidRDefault="00882F43">
            <w:pPr>
              <w:pStyle w:val="Normalny1"/>
            </w:pPr>
            <w:r>
              <w:t>Skalski, S. (2016)</w:t>
            </w:r>
          </w:p>
        </w:tc>
        <w:tc>
          <w:tcPr>
            <w:tcW w:w="1325" w:type="dxa"/>
          </w:tcPr>
          <w:p w:rsidR="002B121C" w:rsidRDefault="00882F43">
            <w:pPr>
              <w:pStyle w:val="Normalny1"/>
            </w:pPr>
            <w:r>
              <w:t>10</w:t>
            </w:r>
          </w:p>
        </w:tc>
        <w:tc>
          <w:tcPr>
            <w:tcW w:w="2196" w:type="dxa"/>
          </w:tcPr>
          <w:p w:rsidR="002B121C" w:rsidRDefault="00882F43">
            <w:pPr>
              <w:pStyle w:val="Normalny1"/>
            </w:pPr>
            <w:r>
              <w:t>Pozytywne zmiany, negatywne</w:t>
            </w:r>
            <w:r>
              <w:t xml:space="preserve"> zmiany</w:t>
            </w:r>
          </w:p>
        </w:tc>
        <w:tc>
          <w:tcPr>
            <w:tcW w:w="2066" w:type="dxa"/>
          </w:tcPr>
          <w:p w:rsidR="002B121C" w:rsidRDefault="00882F43">
            <w:pPr>
              <w:pStyle w:val="Normalny1"/>
            </w:pPr>
            <w:r>
              <w:t>Studenci, osoby po kryzysie zdrowotnym (Skalski, 2016)</w:t>
            </w:r>
          </w:p>
        </w:tc>
      </w:tr>
      <w:tr w:rsidR="002B121C" w:rsidTr="00472B24">
        <w:tc>
          <w:tcPr>
            <w:tcW w:w="2003" w:type="dxa"/>
          </w:tcPr>
          <w:p w:rsidR="002B121C" w:rsidRDefault="00882F43">
            <w:pPr>
              <w:pStyle w:val="Normalny1"/>
            </w:pPr>
            <w:r>
              <w:t xml:space="preserve">Skala Założeń wobec Świata (SZWS; polska adaptacja </w:t>
            </w:r>
            <w:proofErr w:type="spellStart"/>
            <w:r>
              <w:t>World</w:t>
            </w:r>
            <w:proofErr w:type="spellEnd"/>
            <w:r>
              <w:t xml:space="preserve"> </w:t>
            </w:r>
            <w:proofErr w:type="spellStart"/>
            <w:r>
              <w:t>Assumptions</w:t>
            </w:r>
            <w:proofErr w:type="spellEnd"/>
            <w:r>
              <w:t xml:space="preserve"> </w:t>
            </w:r>
            <w:proofErr w:type="spellStart"/>
            <w:r>
              <w:t>Scale</w:t>
            </w:r>
            <w:proofErr w:type="spellEnd"/>
            <w:r>
              <w:t>, WAS)</w:t>
            </w:r>
          </w:p>
        </w:tc>
        <w:tc>
          <w:tcPr>
            <w:tcW w:w="1436" w:type="dxa"/>
          </w:tcPr>
          <w:p w:rsidR="002B121C" w:rsidRDefault="00882F43">
            <w:pPr>
              <w:pStyle w:val="Normalny1"/>
            </w:pPr>
            <w:r>
              <w:t xml:space="preserve">Załuski i </w:t>
            </w:r>
            <w:proofErr w:type="spellStart"/>
            <w:r>
              <w:t>Gajdosz</w:t>
            </w:r>
            <w:proofErr w:type="spellEnd"/>
            <w:r>
              <w:t xml:space="preserve"> (2016)</w:t>
            </w:r>
          </w:p>
        </w:tc>
        <w:tc>
          <w:tcPr>
            <w:tcW w:w="1325" w:type="dxa"/>
          </w:tcPr>
          <w:p w:rsidR="002B121C" w:rsidRDefault="00882F43">
            <w:pPr>
              <w:pStyle w:val="Normalny1"/>
            </w:pPr>
            <w:r>
              <w:t>32</w:t>
            </w:r>
          </w:p>
        </w:tc>
        <w:tc>
          <w:tcPr>
            <w:tcW w:w="2196" w:type="dxa"/>
          </w:tcPr>
          <w:p w:rsidR="002B121C" w:rsidRDefault="00882F43">
            <w:pPr>
              <w:pStyle w:val="Normalny1"/>
            </w:pPr>
            <w:r>
              <w:t>Życzliwość świata, kontrola, przypadkowość zdarzeń, obraz siebie</w:t>
            </w:r>
          </w:p>
        </w:tc>
        <w:tc>
          <w:tcPr>
            <w:tcW w:w="2066" w:type="dxa"/>
          </w:tcPr>
          <w:p w:rsidR="002B121C" w:rsidRDefault="00882F43">
            <w:pPr>
              <w:pStyle w:val="Normalny1"/>
            </w:pPr>
            <w:r>
              <w:t xml:space="preserve">Osoby po traumie, </w:t>
            </w:r>
            <w:r>
              <w:t xml:space="preserve">pacjenci psychiatryczni (Załuski i </w:t>
            </w:r>
            <w:proofErr w:type="spellStart"/>
            <w:r>
              <w:t>Gajdosz</w:t>
            </w:r>
            <w:proofErr w:type="spellEnd"/>
            <w:r>
              <w:t>, 2016)</w:t>
            </w:r>
          </w:p>
        </w:tc>
      </w:tr>
      <w:tr w:rsidR="002B121C" w:rsidTr="00472B24">
        <w:tc>
          <w:tcPr>
            <w:tcW w:w="2003" w:type="dxa"/>
          </w:tcPr>
          <w:p w:rsidR="002B121C" w:rsidRDefault="00882F43">
            <w:pPr>
              <w:pStyle w:val="Normalny1"/>
            </w:pPr>
            <w:r>
              <w:t>Skala Poznawczego Przetwarzania Traumy (CPOTS)</w:t>
            </w:r>
          </w:p>
        </w:tc>
        <w:tc>
          <w:tcPr>
            <w:tcW w:w="1436" w:type="dxa"/>
          </w:tcPr>
          <w:p w:rsidR="002B121C" w:rsidRDefault="00882F43">
            <w:pPr>
              <w:pStyle w:val="Normalny1"/>
            </w:pPr>
            <w:r>
              <w:t xml:space="preserve">Ogińska-Bulik i </w:t>
            </w:r>
            <w:proofErr w:type="spellStart"/>
            <w:r>
              <w:t>Juczyński</w:t>
            </w:r>
            <w:proofErr w:type="spellEnd"/>
            <w:r>
              <w:t xml:space="preserve"> (2018)</w:t>
            </w:r>
          </w:p>
        </w:tc>
        <w:tc>
          <w:tcPr>
            <w:tcW w:w="1325" w:type="dxa"/>
          </w:tcPr>
          <w:p w:rsidR="002B121C" w:rsidRDefault="00882F43">
            <w:pPr>
              <w:pStyle w:val="Normalny1"/>
            </w:pPr>
            <w:r>
              <w:t>19</w:t>
            </w:r>
          </w:p>
        </w:tc>
        <w:tc>
          <w:tcPr>
            <w:tcW w:w="2196" w:type="dxa"/>
          </w:tcPr>
          <w:p w:rsidR="002B121C" w:rsidRDefault="00882F43">
            <w:pPr>
              <w:pStyle w:val="Normalny1"/>
            </w:pPr>
            <w:r>
              <w:t>Pozytywne przewartościowanie, planowanie, ruminacje intruzyjne, ruminacje refleksyjne</w:t>
            </w:r>
          </w:p>
        </w:tc>
        <w:tc>
          <w:tcPr>
            <w:tcW w:w="2066" w:type="dxa"/>
          </w:tcPr>
          <w:p w:rsidR="002B121C" w:rsidRDefault="00882F43">
            <w:pPr>
              <w:pStyle w:val="Normalny1"/>
            </w:pPr>
            <w:r>
              <w:t xml:space="preserve">Studenci, pracownicy socjalni (Ogińska-Bulik i </w:t>
            </w:r>
            <w:proofErr w:type="spellStart"/>
            <w:r>
              <w:t>Juczyński</w:t>
            </w:r>
            <w:proofErr w:type="spellEnd"/>
            <w:r>
              <w:t xml:space="preserve">, 2018); terapeuci, personel medyczny, pracownicy socjalni, kuratorzy </w:t>
            </w:r>
            <w:r>
              <w:lastRenderedPageBreak/>
              <w:t xml:space="preserve">sądowi (Ogińska-Bulik, 2023) </w:t>
            </w:r>
          </w:p>
        </w:tc>
      </w:tr>
      <w:tr w:rsidR="002B121C" w:rsidTr="00472B24">
        <w:tc>
          <w:tcPr>
            <w:tcW w:w="2003" w:type="dxa"/>
          </w:tcPr>
          <w:p w:rsidR="002B121C" w:rsidRDefault="00882F43">
            <w:pPr>
              <w:pStyle w:val="Normalny1"/>
            </w:pPr>
            <w:r>
              <w:lastRenderedPageBreak/>
              <w:t>Inwentarz Wtórnego Stresu Traumatycznego (IWST)</w:t>
            </w:r>
          </w:p>
        </w:tc>
        <w:tc>
          <w:tcPr>
            <w:tcW w:w="1436" w:type="dxa"/>
          </w:tcPr>
          <w:p w:rsidR="002B121C" w:rsidRDefault="00882F43">
            <w:pPr>
              <w:pStyle w:val="Normalny1"/>
            </w:pPr>
            <w:r>
              <w:t xml:space="preserve">Ogińska-Bulik i </w:t>
            </w:r>
            <w:proofErr w:type="spellStart"/>
            <w:r>
              <w:t>Juczyński</w:t>
            </w:r>
            <w:proofErr w:type="spellEnd"/>
            <w:r>
              <w:t xml:space="preserve"> (2020)</w:t>
            </w:r>
          </w:p>
        </w:tc>
        <w:tc>
          <w:tcPr>
            <w:tcW w:w="1325" w:type="dxa"/>
          </w:tcPr>
          <w:p w:rsidR="002B121C" w:rsidRDefault="00882F43">
            <w:pPr>
              <w:pStyle w:val="Normalny1"/>
            </w:pPr>
            <w:r>
              <w:t>32</w:t>
            </w:r>
          </w:p>
        </w:tc>
        <w:tc>
          <w:tcPr>
            <w:tcW w:w="2196" w:type="dxa"/>
          </w:tcPr>
          <w:p w:rsidR="002B121C" w:rsidRDefault="00882F43">
            <w:pPr>
              <w:pStyle w:val="Normalny1"/>
            </w:pPr>
            <w:r>
              <w:t>Intruzja, unika</w:t>
            </w:r>
            <w:r>
              <w:t>nie, pobudzenie (wg PCL-5; DSM-5)</w:t>
            </w:r>
          </w:p>
        </w:tc>
        <w:tc>
          <w:tcPr>
            <w:tcW w:w="2066" w:type="dxa"/>
          </w:tcPr>
          <w:p w:rsidR="002B121C" w:rsidRDefault="00882F43">
            <w:pPr>
              <w:pStyle w:val="Normalny1"/>
            </w:pPr>
            <w:r>
              <w:t xml:space="preserve">Psychoterapeuci, lekarze, personel pielęgniarski, ratownicy </w:t>
            </w:r>
            <w:r w:rsidR="000E0363">
              <w:t>medyczni,</w:t>
            </w:r>
            <w:r>
              <w:t xml:space="preserve"> pracownicy socjalni, kuratorzy sądowi (Ogińska-Bulik, </w:t>
            </w:r>
            <w:r w:rsidR="000E0363">
              <w:t>2020; Ogińska</w:t>
            </w:r>
            <w:r>
              <w:t xml:space="preserve">-Bulik </w:t>
            </w:r>
            <w:r w:rsidR="008468CD">
              <w:br/>
            </w:r>
            <w:r>
              <w:t xml:space="preserve">i in., 2023); policjanci (Bąk </w:t>
            </w:r>
            <w:r>
              <w:br/>
            </w:r>
            <w:r>
              <w:t>i Ogińska-Bulik, 2024)</w:t>
            </w:r>
          </w:p>
        </w:tc>
      </w:tr>
      <w:tr w:rsidR="002B121C" w:rsidTr="00472B24">
        <w:tc>
          <w:tcPr>
            <w:tcW w:w="2003" w:type="dxa"/>
          </w:tcPr>
          <w:p w:rsidR="002B121C" w:rsidRDefault="00882F43">
            <w:pPr>
              <w:pStyle w:val="Normalny1"/>
            </w:pPr>
            <w:r>
              <w:t>Inwentarz Wtórnego Wzrostu Potraumatycznego (IWWP)</w:t>
            </w:r>
          </w:p>
        </w:tc>
        <w:tc>
          <w:tcPr>
            <w:tcW w:w="1436" w:type="dxa"/>
          </w:tcPr>
          <w:p w:rsidR="002B121C" w:rsidRDefault="00882F43">
            <w:pPr>
              <w:pStyle w:val="Normalny1"/>
            </w:pPr>
            <w:r>
              <w:t xml:space="preserve">Ogińska-Bulik i </w:t>
            </w:r>
            <w:proofErr w:type="spellStart"/>
            <w:r>
              <w:t>Juczyński</w:t>
            </w:r>
            <w:proofErr w:type="spellEnd"/>
            <w:r>
              <w:t xml:space="preserve"> (2022)</w:t>
            </w:r>
          </w:p>
        </w:tc>
        <w:tc>
          <w:tcPr>
            <w:tcW w:w="1325" w:type="dxa"/>
          </w:tcPr>
          <w:p w:rsidR="002B121C" w:rsidRDefault="00882F43">
            <w:pPr>
              <w:pStyle w:val="Normalny1"/>
            </w:pPr>
            <w:r>
              <w:t>20</w:t>
            </w:r>
          </w:p>
        </w:tc>
        <w:tc>
          <w:tcPr>
            <w:tcW w:w="2196" w:type="dxa"/>
          </w:tcPr>
          <w:p w:rsidR="002B121C" w:rsidRDefault="00882F43">
            <w:pPr>
              <w:pStyle w:val="Normalny1"/>
            </w:pPr>
            <w:r>
              <w:t>Zmiana percepcji siebie, relacje z innymi, docenianie życia, zmiany duchowe</w:t>
            </w:r>
          </w:p>
        </w:tc>
        <w:tc>
          <w:tcPr>
            <w:tcW w:w="2066" w:type="dxa"/>
          </w:tcPr>
          <w:p w:rsidR="002B121C" w:rsidRDefault="00882F43">
            <w:pPr>
              <w:pStyle w:val="Normalny1"/>
            </w:pPr>
            <w:r>
              <w:t xml:space="preserve">Psychoterapeuci, lekarze, personel pielęgniarski, ratownicy </w:t>
            </w:r>
            <w:r w:rsidR="000E0363">
              <w:t>medyczni,</w:t>
            </w:r>
            <w:r>
              <w:t xml:space="preserve"> pracownicy so</w:t>
            </w:r>
            <w:r>
              <w:t xml:space="preserve">cjalni, kuratorzy sądowi (Ogińska-Bulik, </w:t>
            </w:r>
            <w:r w:rsidR="000E0363">
              <w:t>2020; Ogińska</w:t>
            </w:r>
            <w:r>
              <w:t xml:space="preserve">-Bulik </w:t>
            </w:r>
            <w:r w:rsidR="008468CD">
              <w:br/>
            </w:r>
            <w:r>
              <w:t xml:space="preserve">i in., 2023; Bąk </w:t>
            </w:r>
            <w:r w:rsidR="008468CD">
              <w:br/>
            </w:r>
            <w:r>
              <w:t>i Ogińska-Bulik, 2024)</w:t>
            </w:r>
          </w:p>
        </w:tc>
      </w:tr>
    </w:tbl>
    <w:p w:rsidR="002B121C" w:rsidRDefault="002B121C">
      <w:pPr>
        <w:pStyle w:val="Normalny1"/>
        <w:spacing w:after="240"/>
        <w:jc w:val="both"/>
      </w:pPr>
    </w:p>
    <w:p w:rsidR="008468CD" w:rsidRDefault="008468CD">
      <w:pPr>
        <w:pStyle w:val="Normalny1"/>
        <w:spacing w:after="240"/>
        <w:jc w:val="center"/>
        <w:rPr>
          <w:b/>
        </w:rPr>
      </w:pPr>
    </w:p>
    <w:p w:rsidR="008468CD" w:rsidRDefault="008468CD">
      <w:pPr>
        <w:pStyle w:val="Normalny1"/>
        <w:spacing w:after="240"/>
        <w:jc w:val="center"/>
        <w:rPr>
          <w:b/>
        </w:rPr>
      </w:pPr>
    </w:p>
    <w:p w:rsidR="002B121C" w:rsidRDefault="00882F43">
      <w:pPr>
        <w:pStyle w:val="Normalny1"/>
        <w:spacing w:after="240"/>
        <w:jc w:val="center"/>
        <w:rPr>
          <w:b/>
        </w:rPr>
      </w:pPr>
      <w:r>
        <w:rPr>
          <w:b/>
        </w:rPr>
        <w:lastRenderedPageBreak/>
        <w:t>Wartość diagnostyczna prezentowanych narzędzi badawczych</w:t>
      </w:r>
    </w:p>
    <w:p w:rsidR="00000000" w:rsidRDefault="00882F43">
      <w:pPr>
        <w:pStyle w:val="Normalny1"/>
        <w:jc w:val="both"/>
      </w:pPr>
      <w:r>
        <w:t>Przegląd narzędzi stosowanych w badaniach nad wtórną traumatyzacją oraz wtórnym</w:t>
      </w:r>
      <w:r>
        <w:t xml:space="preserve"> wzrostem </w:t>
      </w:r>
      <w:proofErr w:type="spellStart"/>
      <w:r>
        <w:t>potraumatycznym</w:t>
      </w:r>
      <w:proofErr w:type="spellEnd"/>
      <w:r>
        <w:t xml:space="preserve"> ujawnia zarówno ich znaczący potencjał diagnostyczny, jak </w:t>
      </w:r>
      <w:r>
        <w:br/>
      </w:r>
      <w:r>
        <w:t xml:space="preserve">i ograniczenia. W przypadku pomiaru wtórnej traumatyzacji dominujące narzędzia, takie jak </w:t>
      </w:r>
      <w:proofErr w:type="spellStart"/>
      <w:r>
        <w:t>Secondary</w:t>
      </w:r>
      <w:proofErr w:type="spellEnd"/>
      <w:r>
        <w:t xml:space="preserve"> </w:t>
      </w:r>
      <w:proofErr w:type="spellStart"/>
      <w:r>
        <w:t>Traumatic</w:t>
      </w:r>
      <w:proofErr w:type="spellEnd"/>
      <w:r>
        <w:t xml:space="preserve"> Stress </w:t>
      </w:r>
      <w:proofErr w:type="spellStart"/>
      <w:r>
        <w:t>Scale</w:t>
      </w:r>
      <w:proofErr w:type="spellEnd"/>
      <w:r>
        <w:t xml:space="preserve"> (STSS) (</w:t>
      </w:r>
      <w:proofErr w:type="spellStart"/>
      <w:r>
        <w:t>Bride</w:t>
      </w:r>
      <w:proofErr w:type="spellEnd"/>
      <w:r>
        <w:t xml:space="preserve"> i in., 2004) czy Professional </w:t>
      </w:r>
      <w:proofErr w:type="spellStart"/>
      <w:r>
        <w:t>Qual</w:t>
      </w:r>
      <w:r>
        <w:t>ity</w:t>
      </w:r>
      <w:proofErr w:type="spellEnd"/>
      <w:r>
        <w:t xml:space="preserve"> of Life </w:t>
      </w:r>
      <w:proofErr w:type="spellStart"/>
      <w:r>
        <w:t>Scale</w:t>
      </w:r>
      <w:proofErr w:type="spellEnd"/>
      <w:r>
        <w:t xml:space="preserve"> (</w:t>
      </w:r>
      <w:proofErr w:type="spellStart"/>
      <w:r>
        <w:t>ProQOL</w:t>
      </w:r>
      <w:proofErr w:type="spellEnd"/>
      <w:r>
        <w:t>) (Stamm, 2010), cechują się trafnością treściową. Warto podkreślić, że choć skala STSS ma bezpośrednie odniesienie do symptomów charakterystycznych dla PTSD – intruzji, unikania i pobudzenia – to są to kryteria diagnostyczne zgodn</w:t>
      </w:r>
      <w:r>
        <w:t>e z klasyfikacją DSM-IV, nie zaś aktualną DSM-5 (APA, 2013). Ograniczeniem jest także fakt braku różnicowania pomiędzy objawami STS a innymi pokrewnymi zjawiskami, jak wypalenie zawodowe czy stres w pracy (Jenkins i Baird, 2002; Cieślak i in., 2014). Natom</w:t>
      </w:r>
      <w:r>
        <w:t xml:space="preserve">iast struktura czynnikowa kwestionariusza </w:t>
      </w:r>
      <w:proofErr w:type="spellStart"/>
      <w:r>
        <w:t>ProQOL</w:t>
      </w:r>
      <w:proofErr w:type="spellEnd"/>
      <w:r>
        <w:t>, choć wielokrotnie stosowanego w badaniach, bywa kwestionowana, a poszczególne podskale (zwłaszcza dotyczące satysfakcji z pomagania) charakteryzują się znacząco zróżnicowaną rzetelnością w różnych konteksta</w:t>
      </w:r>
      <w:r>
        <w:t>ch kulturowych (</w:t>
      </w:r>
      <w:proofErr w:type="spellStart"/>
      <w:r>
        <w:t>Heritage</w:t>
      </w:r>
      <w:proofErr w:type="spellEnd"/>
      <w:r>
        <w:t xml:space="preserve"> i in., 2018). Z kolei narzędzia, takie jak </w:t>
      </w:r>
      <w:proofErr w:type="spellStart"/>
      <w:r>
        <w:t>Compassion</w:t>
      </w:r>
      <w:proofErr w:type="spellEnd"/>
      <w:r>
        <w:t xml:space="preserve"> </w:t>
      </w:r>
      <w:proofErr w:type="spellStart"/>
      <w:r>
        <w:t>Fatigue</w:t>
      </w:r>
      <w:proofErr w:type="spellEnd"/>
      <w:r>
        <w:t xml:space="preserve"> </w:t>
      </w:r>
      <w:proofErr w:type="spellStart"/>
      <w:r>
        <w:t>Short</w:t>
      </w:r>
      <w:proofErr w:type="spellEnd"/>
      <w:r>
        <w:t xml:space="preserve"> </w:t>
      </w:r>
      <w:proofErr w:type="spellStart"/>
      <w:r>
        <w:t>Scale</w:t>
      </w:r>
      <w:proofErr w:type="spellEnd"/>
      <w:r>
        <w:t xml:space="preserve"> (</w:t>
      </w:r>
      <w:proofErr w:type="spellStart"/>
      <w:r>
        <w:t>CF-Short</w:t>
      </w:r>
      <w:proofErr w:type="spellEnd"/>
      <w:r>
        <w:t xml:space="preserve">) (Adams i in., 2006) czy </w:t>
      </w:r>
      <w:proofErr w:type="spellStart"/>
      <w:r>
        <w:t>Secondary</w:t>
      </w:r>
      <w:proofErr w:type="spellEnd"/>
      <w:r>
        <w:t xml:space="preserve"> Trauma </w:t>
      </w:r>
      <w:proofErr w:type="spellStart"/>
      <w:r>
        <w:t>Questionnaire</w:t>
      </w:r>
      <w:proofErr w:type="spellEnd"/>
      <w:r>
        <w:t xml:space="preserve"> (STQ) (Motta i in., 1999) cechuje zwięzła forma, co może stanowić zaletę podczas przesiewow</w:t>
      </w:r>
      <w:r>
        <w:t xml:space="preserve">ego procesu diagnostycznego, jednak niesie to ze sobą ryzyko uproszczenia złożonego zjawiska STS </w:t>
      </w:r>
      <w:r w:rsidR="008468CD">
        <w:br/>
      </w:r>
      <w:r>
        <w:t>i może prowadzić do redukcjonistycznego ujęcia prezentowanych objawów. Ponadto</w:t>
      </w:r>
      <w:r>
        <w:t xml:space="preserve"> większość prezentowanych </w:t>
      </w:r>
      <w:r>
        <w:t xml:space="preserve">w tabeli 1 kwestionariuszy powstawała w Stanach </w:t>
      </w:r>
      <w:r>
        <w:t xml:space="preserve">Zjednoczonych, a adaptacje w innych kulturach – w tym w Polsce – poddawane są dalszej weryfikacji psychometrycznej (Ogińska-Bulik i </w:t>
      </w:r>
      <w:proofErr w:type="spellStart"/>
      <w:r>
        <w:t>Juczyński</w:t>
      </w:r>
      <w:proofErr w:type="spellEnd"/>
      <w:r>
        <w:t>, 2013, 2020).</w:t>
      </w:r>
    </w:p>
    <w:p w:rsidR="00000000" w:rsidRDefault="00882F43">
      <w:pPr>
        <w:pStyle w:val="Normalny1"/>
        <w:jc w:val="both"/>
      </w:pPr>
      <w:r>
        <w:tab/>
        <w:t xml:space="preserve">Do pomiaru wtórnego wzrostu potraumatycznego, najczęściej stosowanym narzędziem jest </w:t>
      </w:r>
      <w:proofErr w:type="spellStart"/>
      <w:r>
        <w:t>Posttraumatic</w:t>
      </w:r>
      <w:proofErr w:type="spellEnd"/>
      <w:r>
        <w:t xml:space="preserve"> </w:t>
      </w:r>
      <w:r>
        <w:t xml:space="preserve">Growth </w:t>
      </w:r>
      <w:proofErr w:type="spellStart"/>
      <w:r>
        <w:t>Inventory</w:t>
      </w:r>
      <w:proofErr w:type="spellEnd"/>
      <w:r>
        <w:t xml:space="preserve"> (PTGI) (Tedeschi i Calhoun, 1996). Jego niewątpliwą zaletą jest szeroka operacjonalizacja pozytywnych zmian ujętych w pięć obszarów (relacje, nowe możliwości, siła osobista, docenianie życia, rozwój duchowy). Jednakże warto wziąć pod uwagę</w:t>
      </w:r>
      <w:r>
        <w:t xml:space="preserve">, że inwentarz ten był stworzony dla osób bezpośrednio doświadczających traumy, co rodzi pytania o trafność jego stosowania w odniesieniu do zjawisk wtórnych (Shakespeare-Finch i </w:t>
      </w:r>
      <w:proofErr w:type="spellStart"/>
      <w:r>
        <w:t>Barrington</w:t>
      </w:r>
      <w:proofErr w:type="spellEnd"/>
      <w:r>
        <w:t xml:space="preserve">, 2012). Z kolei narzędzia takie jak </w:t>
      </w:r>
      <w:proofErr w:type="spellStart"/>
      <w:r>
        <w:t>Vicarious</w:t>
      </w:r>
      <w:proofErr w:type="spellEnd"/>
      <w:r>
        <w:t xml:space="preserve"> Trauma </w:t>
      </w:r>
      <w:proofErr w:type="spellStart"/>
      <w:r>
        <w:t>Scale</w:t>
      </w:r>
      <w:proofErr w:type="spellEnd"/>
      <w:r>
        <w:t xml:space="preserve"> (VTS) (</w:t>
      </w:r>
      <w:proofErr w:type="spellStart"/>
      <w:r>
        <w:t>Vrklevski</w:t>
      </w:r>
      <w:proofErr w:type="spellEnd"/>
      <w:r>
        <w:t xml:space="preserve"> i Franklin, 2008) czy </w:t>
      </w:r>
      <w:proofErr w:type="spellStart"/>
      <w:r>
        <w:t>Vicarious</w:t>
      </w:r>
      <w:proofErr w:type="spellEnd"/>
      <w:r>
        <w:t xml:space="preserve"> Resilience </w:t>
      </w:r>
      <w:proofErr w:type="spellStart"/>
      <w:r>
        <w:t>Scale</w:t>
      </w:r>
      <w:proofErr w:type="spellEnd"/>
      <w:r>
        <w:t xml:space="preserve"> (VRS) (</w:t>
      </w:r>
      <w:proofErr w:type="spellStart"/>
      <w:r>
        <w:t>Hernández</w:t>
      </w:r>
      <w:proofErr w:type="spellEnd"/>
      <w:r>
        <w:t xml:space="preserve"> i in., 2010) wydają się istotnym krokiem w kierunku integracji badań nad negatywnymi i pozytywnymi aspektami ekspozycji na cudzą traumę. Problemem jest jednak </w:t>
      </w:r>
      <w:r>
        <w:lastRenderedPageBreak/>
        <w:t>ograniczona liczba ba</w:t>
      </w:r>
      <w:r>
        <w:t>dań wykorzystujących te skale w polskich warunkach, co uniemożliwia pełną ocenę ich rzetelności, adaptacji kulturowej i użyteczności diagnostycznej.</w:t>
      </w:r>
    </w:p>
    <w:p w:rsidR="00000000" w:rsidRDefault="00882F43">
      <w:pPr>
        <w:pStyle w:val="Normalny1"/>
        <w:spacing w:after="240"/>
        <w:jc w:val="both"/>
        <w:rPr>
          <w:b/>
        </w:rPr>
      </w:pPr>
      <w:r>
        <w:tab/>
        <w:t>Podsumowując, choć dostępne narzędzia badawcze pozwalają na szeroką eksplorację zjawisk wtórnej traumatyza</w:t>
      </w:r>
      <w:r>
        <w:t>cji i wzrostu, jednak ich istniejące ograniczenia wymagają ostrożności w interpretacji wyników. Dodatkowo, kwestionariusze badające pozytywne aspekty pomagania są mniej rozpowszechnione niż te mierzące obciążenia, co może ograniczać pełne rozumienie dynami</w:t>
      </w:r>
      <w:r>
        <w:t>ki konsekwencji pracy specjalistów w zawodach pomocowych. Konieczne jest zatem dalsze doskonalenie narzędzi uwzględniające wielowymiarowy charakter badanych konstrukcji, specyfikę wykonywanych zawodów oraz występujące różnice kulturowe.</w:t>
      </w:r>
    </w:p>
    <w:p w:rsidR="00000000" w:rsidRDefault="00882F43" w:rsidP="00DB022F">
      <w:pPr>
        <w:pStyle w:val="Normalny1"/>
        <w:spacing w:afterLines="100"/>
        <w:jc w:val="center"/>
        <w:rPr>
          <w:b/>
        </w:rPr>
      </w:pPr>
      <w:r>
        <w:rPr>
          <w:b/>
        </w:rPr>
        <w:t>Dyskusja</w:t>
      </w:r>
    </w:p>
    <w:p w:rsidR="002B121C" w:rsidRDefault="00882F43">
      <w:pPr>
        <w:pStyle w:val="Normalny1"/>
        <w:jc w:val="both"/>
      </w:pPr>
      <w:r>
        <w:t xml:space="preserve">Analiza dostępnych narzędzi oraz przegląd literatury nad wtórną traumatyzacją (STS) </w:t>
      </w:r>
      <w:r>
        <w:br/>
      </w:r>
      <w:r>
        <w:t xml:space="preserve">i wtórnym wzrostem </w:t>
      </w:r>
      <w:proofErr w:type="spellStart"/>
      <w:r>
        <w:t>potraumatycznym</w:t>
      </w:r>
      <w:proofErr w:type="spellEnd"/>
      <w:r>
        <w:t xml:space="preserve"> (SPG/VPTG) ujawniają, że oba zjawiska mają charakter złożony i wielowymiarowy. Istotne wydaje się zatem nie tylko ich trafne diagnozowan</w:t>
      </w:r>
      <w:r>
        <w:t xml:space="preserve">ie, lecz także rozważenie implikacji praktycznych i teoretycznych płynących </w:t>
      </w:r>
      <w:r>
        <w:br/>
      </w:r>
      <w:r>
        <w:t>z uzyskanych danych.</w:t>
      </w:r>
    </w:p>
    <w:p w:rsidR="002B121C" w:rsidRDefault="00882F43">
      <w:pPr>
        <w:pStyle w:val="Normalny1"/>
        <w:jc w:val="both"/>
      </w:pPr>
      <w:r>
        <w:tab/>
        <w:t>W analizowanym obszarze dominują narzędzia samoopisowe, które są łatwe do zastosowania i umożliwiają szybkie pozyskanie dużej liczby danych, jednak – z racji</w:t>
      </w:r>
      <w:r>
        <w:t xml:space="preserve"> swojego charakteru – pozostają wrażliwe na mechanizmy związane z autoprezentacją oraz zmiennością nastroju osoby badanej (</w:t>
      </w:r>
      <w:proofErr w:type="spellStart"/>
      <w:r>
        <w:t>Podsakoff</w:t>
      </w:r>
      <w:proofErr w:type="spellEnd"/>
      <w:r>
        <w:t xml:space="preserve"> i in., 2003). Zjawiska STS i SPG mają jednak charakter dynamiczny i często rozwijają się w długiej perspektywie czasowej (J</w:t>
      </w:r>
      <w:r>
        <w:t xml:space="preserve">oseph </w:t>
      </w:r>
      <w:r>
        <w:br/>
      </w:r>
      <w:r>
        <w:t xml:space="preserve">i </w:t>
      </w:r>
      <w:proofErr w:type="spellStart"/>
      <w:r>
        <w:t>Linley</w:t>
      </w:r>
      <w:proofErr w:type="spellEnd"/>
      <w:r>
        <w:t xml:space="preserve">, 2005). Istotnym rozwiązaniem wydaje się zatem konieczność łączenia różnych metod pomiaru (np. kwestionariuszy </w:t>
      </w:r>
      <w:proofErr w:type="spellStart"/>
      <w:r>
        <w:t>samoopisowych</w:t>
      </w:r>
      <w:proofErr w:type="spellEnd"/>
      <w:r>
        <w:t xml:space="preserve"> z wywiadami czy obserwacją) oraz włączenie metod jakościowych, takich jak analiza narracji czy badania </w:t>
      </w:r>
      <w:proofErr w:type="spellStart"/>
      <w:r>
        <w:t>longitudinal</w:t>
      </w:r>
      <w:r>
        <w:t>ne</w:t>
      </w:r>
      <w:proofErr w:type="spellEnd"/>
      <w:r>
        <w:t>, które mogłoby wzmocnić rzetelność wniosków i pozwolić na lepsze uchwycenie dynamiki badanych zjawisk. Ponadto</w:t>
      </w:r>
      <w:r>
        <w:t xml:space="preserve"> rozpowszechnienie objawów wtórnego stresu traumatycznego jest zróżnicowane w zależności od grupy zawodowej oraz kontekstu pracy. Jak wskazują</w:t>
      </w:r>
      <w:r>
        <w:t xml:space="preserve"> wyniki badań, pielęgniarki oddziałów intensywnej terapii wykazują inne nasilenie objawów niż psychoterapeuci, a policjanci odmienne od pracowników socjalnych (</w:t>
      </w:r>
      <w:proofErr w:type="spellStart"/>
      <w:r>
        <w:t>Barmawi</w:t>
      </w:r>
      <w:proofErr w:type="spellEnd"/>
      <w:r>
        <w:t xml:space="preserve"> i in., 2025; Rzeszutek i in., 2016). Sugeruje to konieczność projektowania narzędzi i pr</w:t>
      </w:r>
      <w:r>
        <w:t>ogramów wsparcia dostosowanych do specyfiki zawodowej, a nie uniwersalnych rozwiązań.</w:t>
      </w:r>
      <w:r>
        <w:tab/>
        <w:t xml:space="preserve"> </w:t>
      </w:r>
      <w:r>
        <w:tab/>
        <w:t xml:space="preserve">Innym istotnym problemem wydaje się brak jednoznacznego rozróżnienia pomiędzy </w:t>
      </w:r>
      <w:r>
        <w:lastRenderedPageBreak/>
        <w:t>zjawiskami pokrewnymi. Objawy wtórnej traumatyzacji w pewnym stopniu odpowiadają symptomom</w:t>
      </w:r>
      <w:r>
        <w:t xml:space="preserve"> wypalenia zawodowego, zmęczenia współczuciem czy ogólnemu stresowi psychologicznemu (</w:t>
      </w:r>
      <w:proofErr w:type="spellStart"/>
      <w:r>
        <w:t>Figley</w:t>
      </w:r>
      <w:proofErr w:type="spellEnd"/>
      <w:r>
        <w:t xml:space="preserve">, 2002; Stamm, 2010). Z kolei pozytywne następstwa pracy </w:t>
      </w:r>
      <w:r>
        <w:br/>
      </w:r>
      <w:r>
        <w:t xml:space="preserve">w zawodach pomocowych mogą być utożsamiane nie tylko z wtórnym wzrostem </w:t>
      </w:r>
      <w:proofErr w:type="spellStart"/>
      <w:r>
        <w:t>potraumatycznym</w:t>
      </w:r>
      <w:proofErr w:type="spellEnd"/>
      <w:r>
        <w:t>, ale również z poc</w:t>
      </w:r>
      <w:r>
        <w:t>zuciem sensu pracy czy satysfakcją zawodową (</w:t>
      </w:r>
      <w:proofErr w:type="spellStart"/>
      <w:r>
        <w:t>Linley</w:t>
      </w:r>
      <w:proofErr w:type="spellEnd"/>
      <w:r>
        <w:t xml:space="preserve"> </w:t>
      </w:r>
      <w:r>
        <w:br/>
      </w:r>
      <w:r>
        <w:t>i Joseph, 2004). Współczesne podejścia psychometryczne, takie jak modelowanie równań strukturalnych czy analizy sieciowe, mogłyby dostarczyć bardziej precyzyjnych danych dotyczących zależności między pos</w:t>
      </w:r>
      <w:r>
        <w:t>zczególnymi wymiarami STS i SPG (</w:t>
      </w:r>
      <w:proofErr w:type="spellStart"/>
      <w:r>
        <w:t>McElroy</w:t>
      </w:r>
      <w:proofErr w:type="spellEnd"/>
      <w:r>
        <w:t xml:space="preserve"> i in., 2020). Konieczne jest zatem dalsze doprecyzowanie definicji operacyjnych obu konstruktów oraz rozwój narzędzi, które pozwolą na trafniejszą diagnozę różnicową, a co za tym idzie na stworzone bardziej trafnych</w:t>
      </w:r>
      <w:r>
        <w:t xml:space="preserve"> oddziaływań profilaktycznych i interwencji wpierających.</w:t>
      </w:r>
    </w:p>
    <w:p w:rsidR="002B121C" w:rsidRDefault="00882F43">
      <w:pPr>
        <w:pStyle w:val="Normalny1"/>
        <w:jc w:val="both"/>
      </w:pPr>
      <w:r>
        <w:tab/>
        <w:t>W dotychczasowych doniesieniach w literaturze dostrzegalne są także istotne różnice kulturowe w sposobie ujawniania się objawów STS i SPG (</w:t>
      </w:r>
      <w:proofErr w:type="spellStart"/>
      <w:r>
        <w:t>Cai</w:t>
      </w:r>
      <w:proofErr w:type="spellEnd"/>
      <w:r>
        <w:t xml:space="preserve"> i in., 2024; </w:t>
      </w:r>
      <w:proofErr w:type="spellStart"/>
      <w:r>
        <w:t>Clearly</w:t>
      </w:r>
      <w:proofErr w:type="spellEnd"/>
      <w:r>
        <w:t xml:space="preserve"> i in., 2024; Grandi i in., 2023).</w:t>
      </w:r>
      <w:r>
        <w:t xml:space="preserve"> Narzędzia konstruowane w kulturze anglosaskiej nie zawsze </w:t>
      </w:r>
      <w:r w:rsidR="008468CD">
        <w:br/>
      </w:r>
      <w:r>
        <w:t xml:space="preserve">w pełni oddają doświadczenia osób pracujących w innych kontekstach społeczno-kulturowych, </w:t>
      </w:r>
      <w:r>
        <w:t xml:space="preserve">w tym w Polsce (Ogińska-Bulik i </w:t>
      </w:r>
      <w:proofErr w:type="spellStart"/>
      <w:r>
        <w:t>Juczyński</w:t>
      </w:r>
      <w:proofErr w:type="spellEnd"/>
      <w:r>
        <w:t xml:space="preserve">, 2020, 2022). Dalsze badania powinny zatem obejmować adaptacje </w:t>
      </w:r>
      <w:r>
        <w:t xml:space="preserve">kulturowe narzędzi oraz uwzględniać specyficzne uwarunkowania pracy w różnych krajach – np. odmienny poziom wsparcia instytucjonalnego czy różnice </w:t>
      </w:r>
      <w:r>
        <w:t>w obciążeniach zawodowych.</w:t>
      </w:r>
    </w:p>
    <w:p w:rsidR="002B121C" w:rsidRDefault="00882F43">
      <w:pPr>
        <w:pStyle w:val="Normalny1"/>
        <w:jc w:val="both"/>
      </w:pPr>
      <w:r>
        <w:tab/>
        <w:t>Kolejnym istotnym obszarem dalszych badań jest relacja pomiędzy wtórną traumatyz</w:t>
      </w:r>
      <w:r>
        <w:t xml:space="preserve">acją a wtórnym wzrostem </w:t>
      </w:r>
      <w:proofErr w:type="spellStart"/>
      <w:r>
        <w:t>potraumatycznym</w:t>
      </w:r>
      <w:proofErr w:type="spellEnd"/>
      <w:r>
        <w:t xml:space="preserve">. Badacze sugerują, że nie są to zjawiska wykluczające się, lecz mogą współistnieć w doświadczeniu jednej osoby (Joseph </w:t>
      </w:r>
      <w:r>
        <w:br/>
      </w:r>
      <w:r>
        <w:t xml:space="preserve">i </w:t>
      </w:r>
      <w:proofErr w:type="spellStart"/>
      <w:r>
        <w:t>Linley</w:t>
      </w:r>
      <w:proofErr w:type="spellEnd"/>
      <w:r>
        <w:t xml:space="preserve">, 2005; </w:t>
      </w:r>
      <w:proofErr w:type="spellStart"/>
      <w:r>
        <w:t>Manning-Jones</w:t>
      </w:r>
      <w:proofErr w:type="spellEnd"/>
      <w:r>
        <w:t xml:space="preserve"> i in., 2017), bowiem profesjonaliści doświadczając obciążeń emocjo</w:t>
      </w:r>
      <w:r>
        <w:t xml:space="preserve">nalnych, jednocześnie zyskują szansę na rozwój (Ogińska-Bulik i </w:t>
      </w:r>
      <w:proofErr w:type="spellStart"/>
      <w:r>
        <w:t>Juczyński</w:t>
      </w:r>
      <w:proofErr w:type="spellEnd"/>
      <w:r>
        <w:t xml:space="preserve">, 2010). Doświadczanie trudności emocjonalnych nie wyklucza pojawienia się pozytywnych zmian, </w:t>
      </w:r>
      <w:r>
        <w:br/>
      </w:r>
      <w:r>
        <w:t>a wręcz może stanowić impuls do przewartościowania dotychczasowych schematów poznawczych</w:t>
      </w:r>
      <w:r>
        <w:t xml:space="preserve">. Z tego punktu widzenia niezwykle cenne wydają się badania podłużne </w:t>
      </w:r>
      <w:r>
        <w:br/>
      </w:r>
      <w:r>
        <w:t>i jakościowe, które umożliwią śledzenie sekwencji przeżyć i strategii radzenia sobie prowadzących od obciążenia ku wzrostowi.</w:t>
      </w:r>
    </w:p>
    <w:p w:rsidR="002B121C" w:rsidRDefault="00882F43">
      <w:pPr>
        <w:pStyle w:val="Normalny1"/>
        <w:jc w:val="both"/>
      </w:pPr>
      <w:r>
        <w:tab/>
        <w:t>Na gruncie polskim widać wzrost zainteresowania badaczy w z</w:t>
      </w:r>
      <w:r>
        <w:t xml:space="preserve">akresie tworzenia </w:t>
      </w:r>
      <w:r>
        <w:br/>
      </w:r>
      <w:r>
        <w:t xml:space="preserve">i adaptacji narzędzi. Inwentarz Wtórnego Stresu Traumatycznego (IWST; Ogińska-Bulik </w:t>
      </w:r>
      <w:r>
        <w:br/>
      </w:r>
      <w:r>
        <w:t xml:space="preserve">i </w:t>
      </w:r>
      <w:proofErr w:type="spellStart"/>
      <w:r>
        <w:t>Juczyński</w:t>
      </w:r>
      <w:proofErr w:type="spellEnd"/>
      <w:r>
        <w:t xml:space="preserve">, 2020) stanowi próbę zastosowania diagnozy STS do polskich warunków, opierając się na kryteriach DSM-5 i PCL-5 (Ogińska-Bulik i in., 2023). </w:t>
      </w:r>
      <w:r>
        <w:t xml:space="preserve">Natomiast Skala Poznawczego Przetwarzania Traumy (CPOTS; Ogińska-Bulik i </w:t>
      </w:r>
      <w:proofErr w:type="spellStart"/>
      <w:r>
        <w:t>Juczyński</w:t>
      </w:r>
      <w:proofErr w:type="spellEnd"/>
      <w:r>
        <w:t xml:space="preserve">, 2018) dostarcza </w:t>
      </w:r>
      <w:r>
        <w:lastRenderedPageBreak/>
        <w:t xml:space="preserve">cennych informacji o sposobach radzenia sobie z trudnym doświadczeniem poprzez strategie </w:t>
      </w:r>
      <w:proofErr w:type="spellStart"/>
      <w:r>
        <w:t>ruminacyjne</w:t>
      </w:r>
      <w:proofErr w:type="spellEnd"/>
      <w:r>
        <w:t xml:space="preserve"> i poznawcze przewartościowanie. Jej niewątpliwym walore</w:t>
      </w:r>
      <w:r>
        <w:t xml:space="preserve">m jest możliwość diagnozy mechanizmów, które warunkują zarówno wystąpienie wtórnej traumatyzacji, jak </w:t>
      </w:r>
      <w:r>
        <w:br/>
      </w:r>
      <w:r>
        <w:t xml:space="preserve">i potencjalny wzrost potraumatyczny. Inne polskie narzędzia, takie jak Inwentarz Potraumatycznego Rozwoju (IPR; Ogińska-Bulik i </w:t>
      </w:r>
      <w:proofErr w:type="spellStart"/>
      <w:r>
        <w:t>Juczyński</w:t>
      </w:r>
      <w:proofErr w:type="spellEnd"/>
      <w:r>
        <w:t>, 2010) czy Kwes</w:t>
      </w:r>
      <w:r>
        <w:t xml:space="preserve">tionariusz Nowej Perspektywy (Skalski, 2016), pozwalają badać zarówno efekty pozytywne, jak </w:t>
      </w:r>
      <w:r>
        <w:br/>
      </w:r>
      <w:r>
        <w:t xml:space="preserve">i procesy poznawcze leżące u podstaw radzenia sobie z traumą. Jednakże skale, jak Skala Założeń Wobec Świata (SZWS; Załuski i </w:t>
      </w:r>
      <w:proofErr w:type="spellStart"/>
      <w:r>
        <w:t>Gajdosz</w:t>
      </w:r>
      <w:proofErr w:type="spellEnd"/>
      <w:r>
        <w:t>, 2016) czy Kwestionariusz Now</w:t>
      </w:r>
      <w:r>
        <w:t xml:space="preserve">ej Perspektywy, wydają się mieć charakter bardziej poznawczy niż kliniczny, przez co ich interpretacja wymaga ostrożności, zwłaszcza w praktyce interwencyjnej. Natomiast Inwentarz Potraumatycznego Rozwoju (IPR; Ogińska-Bulik i </w:t>
      </w:r>
      <w:proofErr w:type="spellStart"/>
      <w:r>
        <w:t>Juczyński</w:t>
      </w:r>
      <w:proofErr w:type="spellEnd"/>
      <w:r>
        <w:t>, 2010) oraz jego ro</w:t>
      </w:r>
      <w:r>
        <w:t xml:space="preserve">zwinięcie w postaci Inwentarza Wtórnego Wzrostu Potraumatycznego (IWWP; Ogińska-Bulik i </w:t>
      </w:r>
      <w:proofErr w:type="spellStart"/>
      <w:r>
        <w:t>Juczyński</w:t>
      </w:r>
      <w:proofErr w:type="spellEnd"/>
      <w:r>
        <w:t>, 2022) są ukierunkowane są na ocenę pozytywnych konsekwencji doświadczania traumy – zmian w postrzeganiu siebie, relacjach z innymi czy docenianiu życia. Wart</w:t>
      </w:r>
      <w:r>
        <w:t xml:space="preserve">o podkreślić, że IWWP umożliwia ocenę pozytywnych zmian odzwierciedlając specyfikę w grupach zawodowych pomocowych, stanowiąc odpowiedź na ograniczenia klasycznego PTGI. Skale te szczególnie użyteczne w diagnozie zasobów i procesów adaptacyjnych w grupach </w:t>
      </w:r>
      <w:r>
        <w:t>zawodowych narażonych na kontakt z cudzym cierpieniem (np. psychoterapeutów, pielęgniarek, ratowników medycznych; Ogińska-Bulik, 2021). Mocną stroną polskich narzędzi badawczych jest niewątpliwie zakorzenienie w polskim kontekście kulturowym i zawodowym, j</w:t>
      </w:r>
      <w:r>
        <w:t xml:space="preserve">ednak ograniczenie stanowią wąskie próby walidacyjne (np. pielęgniarki, ratownicy medyczni, studenci) oraz </w:t>
      </w:r>
      <w:proofErr w:type="spellStart"/>
      <w:r>
        <w:t>samoopisowy</w:t>
      </w:r>
      <w:proofErr w:type="spellEnd"/>
      <w:r>
        <w:t xml:space="preserve"> charakter pomiaru.</w:t>
      </w:r>
    </w:p>
    <w:p w:rsidR="002B121C" w:rsidRDefault="00882F43">
      <w:pPr>
        <w:pStyle w:val="Normalny1"/>
        <w:jc w:val="both"/>
      </w:pPr>
      <w:r>
        <w:tab/>
        <w:t>Wnioski płynące z przeglądu badań mają znaczenie praktyczne dla organizacji zatrudniających osoby w zawodach pomocowy</w:t>
      </w:r>
      <w:r>
        <w:t>ch. Wysoki poziom STS wiąże się z kosztami ekonomicznymi i organizacyjnymi – absencją chorobową, rotacją pracowników czy spadkiem jakości świadczonych usług (</w:t>
      </w:r>
      <w:proofErr w:type="spellStart"/>
      <w:r>
        <w:t>Kristensen</w:t>
      </w:r>
      <w:proofErr w:type="spellEnd"/>
      <w:r>
        <w:t xml:space="preserve"> i in., 2005). Z kolei promowanie zasobów sprzyjających SPG, takich jak wsparcie społecz</w:t>
      </w:r>
      <w:r>
        <w:t xml:space="preserve">ne, superwizja, szkolenia z zakresu odporności psychicznej czy kultura organizacyjna oparta na otwartości i współpracy, może stanowić skuteczną formę profilaktyki i podnosić satysfakcję zawodową (Cohen i </w:t>
      </w:r>
      <w:proofErr w:type="spellStart"/>
      <w:r>
        <w:t>Collens</w:t>
      </w:r>
      <w:proofErr w:type="spellEnd"/>
      <w:r>
        <w:t xml:space="preserve">, 2013; </w:t>
      </w:r>
      <w:proofErr w:type="spellStart"/>
      <w:r>
        <w:t>Ludick</w:t>
      </w:r>
      <w:proofErr w:type="spellEnd"/>
      <w:r>
        <w:t xml:space="preserve"> i </w:t>
      </w:r>
      <w:proofErr w:type="spellStart"/>
      <w:r>
        <w:t>Figley</w:t>
      </w:r>
      <w:proofErr w:type="spellEnd"/>
      <w:r>
        <w:t>, 2016).</w:t>
      </w:r>
    </w:p>
    <w:p w:rsidR="00000000" w:rsidRDefault="00882F43" w:rsidP="00DB022F">
      <w:pPr>
        <w:pStyle w:val="Normalny1"/>
        <w:spacing w:afterLines="100"/>
        <w:jc w:val="center"/>
        <w:rPr>
          <w:b/>
        </w:rPr>
      </w:pPr>
      <w:r>
        <w:rPr>
          <w:b/>
        </w:rPr>
        <w:t>Wnioski</w:t>
      </w:r>
    </w:p>
    <w:p w:rsidR="002B121C" w:rsidRDefault="00882F43">
      <w:pPr>
        <w:pStyle w:val="Normalny1"/>
        <w:jc w:val="both"/>
      </w:pPr>
      <w:r>
        <w:t xml:space="preserve">Zrozumienie złożoności mechanizmów negatywnych i pozytywnych skutków pracy pomocowej jest nie tylko zagadnieniem naukowym i wyzwaniem diagnostycznym, ale także </w:t>
      </w:r>
      <w:r>
        <w:lastRenderedPageBreak/>
        <w:t>społecznym i etycznym – wpływając bezpośrednio na jakość świadczonych usług, dobrostan pracownik</w:t>
      </w:r>
      <w:r>
        <w:t xml:space="preserve">ów oraz efektywność funkcjonowania instytucji pomocowych. Dyskusja nad narzędziami i badaniami nad wtórną traumatyzacją i wtórnym wzrostem </w:t>
      </w:r>
      <w:proofErr w:type="spellStart"/>
      <w:r>
        <w:t>potraumatycznym</w:t>
      </w:r>
      <w:proofErr w:type="spellEnd"/>
      <w:r>
        <w:t xml:space="preserve"> prowadzi do kilku kluczowych wniosków:</w:t>
      </w:r>
    </w:p>
    <w:p w:rsidR="002B121C" w:rsidRDefault="00882F43">
      <w:pPr>
        <w:pStyle w:val="Normalny1"/>
      </w:pPr>
      <w:r>
        <w:t>1.</w:t>
      </w:r>
      <w:r>
        <w:tab/>
      </w:r>
      <w:r>
        <w:t>P</w:t>
      </w:r>
      <w:r>
        <w:t>otrzeba doprecyzowania pojęć i konstrukcji teoretycznych,</w:t>
      </w:r>
      <w:r>
        <w:t xml:space="preserve"> celem minimalizowania niejasności operacjonalizacji badanych zjawisk i mylnej interpretacji wyników</w:t>
      </w:r>
      <w:r>
        <w:t>.</w:t>
      </w:r>
    </w:p>
    <w:p w:rsidR="002B121C" w:rsidRDefault="00882F43">
      <w:pPr>
        <w:pStyle w:val="Normalny1"/>
      </w:pPr>
      <w:r>
        <w:t>2.</w:t>
      </w:r>
      <w:r>
        <w:tab/>
      </w:r>
      <w:r>
        <w:t>P</w:t>
      </w:r>
      <w:r>
        <w:t>otrzeba adaptacji kulturowej i zawodowej narzędzi, które w obecnym kształcie nie zawsze w pełni oddają zróżnicowanie doświadczeń badanych grup</w:t>
      </w:r>
      <w:r>
        <w:t>.</w:t>
      </w:r>
    </w:p>
    <w:p w:rsidR="002B121C" w:rsidRDefault="00882F43">
      <w:pPr>
        <w:pStyle w:val="Normalny1"/>
      </w:pPr>
      <w:r>
        <w:t>3.</w:t>
      </w:r>
      <w:r>
        <w:tab/>
      </w:r>
      <w:r>
        <w:t>P</w:t>
      </w:r>
      <w:r>
        <w:t>otrzeba integracji metod ilościowych i jakościowych, aby uchwycić dynamicznie zmieniający się charakter opisywanych zjawisk</w:t>
      </w:r>
      <w:r>
        <w:t>.</w:t>
      </w:r>
    </w:p>
    <w:p w:rsidR="002B121C" w:rsidRDefault="00882F43">
      <w:pPr>
        <w:pStyle w:val="Normalny1"/>
      </w:pPr>
      <w:r>
        <w:t>4.</w:t>
      </w:r>
      <w:r>
        <w:tab/>
      </w:r>
      <w:r>
        <w:t>K</w:t>
      </w:r>
      <w:r>
        <w:t>onieczność praktycznego wdrażania wniosków diagnostycznych, które powinny służyć jako wyznacznik kierunku działań profilakt</w:t>
      </w:r>
      <w:r>
        <w:t>ycznych i wzmacniających odporność psychiczną profesjonalistów</w:t>
      </w:r>
      <w:r>
        <w:t>.</w:t>
      </w:r>
    </w:p>
    <w:p w:rsidR="002B121C" w:rsidRDefault="00882F43">
      <w:pPr>
        <w:pStyle w:val="Normalny1"/>
      </w:pPr>
      <w:r>
        <w:t>5.</w:t>
      </w:r>
      <w:r>
        <w:tab/>
      </w:r>
      <w:r>
        <w:t>P</w:t>
      </w:r>
      <w:r>
        <w:t>otrzeba badań nad współwystępowaniem STS i SPG, które mogą być postrzegane jako dwa aspekty procesu adaptacyjnego do pracy pomocowej z narażeniem na czynniki traumatyzujące.</w:t>
      </w:r>
    </w:p>
    <w:p w:rsidR="002B121C" w:rsidRDefault="002B121C">
      <w:pPr>
        <w:pStyle w:val="Normalny1"/>
        <w:rPr>
          <w:b/>
        </w:rPr>
      </w:pPr>
    </w:p>
    <w:p w:rsidR="00000000" w:rsidRDefault="00882F43" w:rsidP="00DB022F">
      <w:pPr>
        <w:pStyle w:val="Normalny1"/>
        <w:spacing w:afterLines="100"/>
        <w:jc w:val="center"/>
        <w:rPr>
          <w:b/>
        </w:rPr>
      </w:pPr>
      <w:r>
        <w:rPr>
          <w:b/>
        </w:rPr>
        <w:t>Literatura</w:t>
      </w:r>
      <w:r>
        <w:rPr>
          <w:b/>
        </w:rPr>
        <w:t xml:space="preserve"> </w:t>
      </w:r>
      <w:r>
        <w:rPr>
          <w:b/>
        </w:rPr>
        <w:t>cytowana</w:t>
      </w:r>
    </w:p>
    <w:p w:rsidR="00000000" w:rsidRDefault="00882F43">
      <w:pPr>
        <w:pStyle w:val="Normalny1"/>
        <w:ind w:left="720" w:hanging="720"/>
        <w:jc w:val="both"/>
        <w:rPr>
          <w:lang w:val="en-GB"/>
        </w:rPr>
      </w:pPr>
      <w:r w:rsidRPr="00145DC2">
        <w:rPr>
          <w:lang w:val="en-GB"/>
        </w:rPr>
        <w:t xml:space="preserve">Adams, R. E., </w:t>
      </w:r>
      <w:proofErr w:type="spellStart"/>
      <w:r w:rsidRPr="00145DC2">
        <w:rPr>
          <w:lang w:val="en-GB"/>
        </w:rPr>
        <w:t>Boscarino</w:t>
      </w:r>
      <w:proofErr w:type="spellEnd"/>
      <w:r w:rsidRPr="00145DC2">
        <w:rPr>
          <w:lang w:val="en-GB"/>
        </w:rPr>
        <w:t xml:space="preserve">, J. A., </w:t>
      </w:r>
      <w:proofErr w:type="spellStart"/>
      <w:r w:rsidRPr="00145DC2">
        <w:rPr>
          <w:lang w:val="en-GB"/>
        </w:rPr>
        <w:t>Figley</w:t>
      </w:r>
      <w:proofErr w:type="spellEnd"/>
      <w:r w:rsidRPr="00145DC2">
        <w:rPr>
          <w:lang w:val="en-GB"/>
        </w:rPr>
        <w:t xml:space="preserve">, C. R. (2006). </w:t>
      </w:r>
      <w:r w:rsidR="007F2BA2" w:rsidRPr="007F2BA2">
        <w:rPr>
          <w:lang w:val="en-GB"/>
        </w:rPr>
        <w:t>Compassion fatigue and psychological distress among social workers: A validation study. </w:t>
      </w:r>
      <w:r w:rsidR="007F2BA2" w:rsidRPr="007F2BA2">
        <w:rPr>
          <w:i/>
          <w:lang w:val="en-GB"/>
        </w:rPr>
        <w:t>American Journal of Orthopsychiatry, 76</w:t>
      </w:r>
      <w:r w:rsidR="007F2BA2" w:rsidRPr="007F2BA2">
        <w:rPr>
          <w:lang w:val="en-GB"/>
        </w:rPr>
        <w:t>(1), 103–108. https://doi.org/10.1037/0002-9432.76.1.103</w:t>
      </w:r>
    </w:p>
    <w:p w:rsidR="00000000" w:rsidRDefault="007F2BA2">
      <w:pPr>
        <w:pStyle w:val="Normalny1"/>
        <w:ind w:left="720" w:hanging="720"/>
        <w:jc w:val="both"/>
        <w:rPr>
          <w:lang w:val="en-GB"/>
        </w:rPr>
      </w:pPr>
      <w:proofErr w:type="spellStart"/>
      <w:r w:rsidRPr="007F2BA2">
        <w:rPr>
          <w:lang w:val="en-GB"/>
        </w:rPr>
        <w:t>Aguiar-Fernández</w:t>
      </w:r>
      <w:proofErr w:type="spellEnd"/>
      <w:r w:rsidRPr="007F2BA2">
        <w:rPr>
          <w:lang w:val="en-GB"/>
        </w:rPr>
        <w:t xml:space="preserve">, F. J., </w:t>
      </w:r>
      <w:proofErr w:type="spellStart"/>
      <w:r w:rsidRPr="007F2BA2">
        <w:rPr>
          <w:lang w:val="en-GB"/>
        </w:rPr>
        <w:t>Méndez-Fernández</w:t>
      </w:r>
      <w:proofErr w:type="spellEnd"/>
      <w:r w:rsidRPr="007F2BA2">
        <w:rPr>
          <w:lang w:val="en-GB"/>
        </w:rPr>
        <w:t xml:space="preserve">, A. B., </w:t>
      </w:r>
      <w:proofErr w:type="spellStart"/>
      <w:r w:rsidRPr="007F2BA2">
        <w:rPr>
          <w:lang w:val="en-GB"/>
        </w:rPr>
        <w:t>Lombardero</w:t>
      </w:r>
      <w:proofErr w:type="spellEnd"/>
      <w:r w:rsidRPr="007F2BA2">
        <w:rPr>
          <w:lang w:val="en-GB"/>
        </w:rPr>
        <w:t>-Posada, X. M., Murcia-</w:t>
      </w:r>
      <w:proofErr w:type="spellStart"/>
      <w:r w:rsidRPr="007F2BA2">
        <w:rPr>
          <w:lang w:val="en-GB"/>
        </w:rPr>
        <w:t>Álvarez</w:t>
      </w:r>
      <w:proofErr w:type="spellEnd"/>
      <w:r w:rsidRPr="007F2BA2">
        <w:rPr>
          <w:lang w:val="en-GB"/>
        </w:rPr>
        <w:t xml:space="preserve">, E., </w:t>
      </w:r>
      <w:proofErr w:type="spellStart"/>
      <w:r w:rsidRPr="007F2BA2">
        <w:rPr>
          <w:lang w:val="en-GB"/>
        </w:rPr>
        <w:t>González-Fernández</w:t>
      </w:r>
      <w:proofErr w:type="spellEnd"/>
      <w:r w:rsidRPr="007F2BA2">
        <w:rPr>
          <w:lang w:val="en-GB"/>
        </w:rPr>
        <w:t xml:space="preserve">, A. (2022). Vicarious trauma scale: Psychometric properties in a sample of social workers from Spain. </w:t>
      </w:r>
      <w:r w:rsidRPr="007F2BA2">
        <w:rPr>
          <w:i/>
          <w:lang w:val="en-GB"/>
        </w:rPr>
        <w:t>Health and Social Work</w:t>
      </w:r>
      <w:r w:rsidRPr="007F2BA2">
        <w:rPr>
          <w:lang w:val="en-GB"/>
        </w:rPr>
        <w:t xml:space="preserve">, </w:t>
      </w:r>
      <w:r w:rsidRPr="007F2BA2">
        <w:rPr>
          <w:i/>
          <w:lang w:val="en-GB"/>
        </w:rPr>
        <w:t>47</w:t>
      </w:r>
      <w:r w:rsidRPr="007F2BA2">
        <w:rPr>
          <w:lang w:val="en-GB"/>
        </w:rPr>
        <w:t>(4), 244–252.</w:t>
      </w:r>
    </w:p>
    <w:p w:rsidR="00000000" w:rsidRDefault="007F2BA2">
      <w:pPr>
        <w:pStyle w:val="Normalny1"/>
        <w:ind w:left="720" w:hanging="720"/>
        <w:jc w:val="both"/>
        <w:rPr>
          <w:lang w:val="en-GB"/>
        </w:rPr>
      </w:pPr>
      <w:r w:rsidRPr="007F2BA2">
        <w:rPr>
          <w:lang w:val="en-GB"/>
        </w:rPr>
        <w:t xml:space="preserve">Al </w:t>
      </w:r>
      <w:proofErr w:type="spellStart"/>
      <w:r w:rsidRPr="007F2BA2">
        <w:rPr>
          <w:lang w:val="en-GB"/>
        </w:rPr>
        <w:t>Barmawi</w:t>
      </w:r>
      <w:proofErr w:type="spellEnd"/>
      <w:r w:rsidRPr="007F2BA2">
        <w:rPr>
          <w:lang w:val="en-GB"/>
        </w:rPr>
        <w:t xml:space="preserve">, M., </w:t>
      </w:r>
      <w:proofErr w:type="spellStart"/>
      <w:r w:rsidRPr="007F2BA2">
        <w:rPr>
          <w:lang w:val="en-GB"/>
        </w:rPr>
        <w:t>Shahrouri</w:t>
      </w:r>
      <w:proofErr w:type="spellEnd"/>
      <w:r w:rsidRPr="007F2BA2">
        <w:rPr>
          <w:lang w:val="en-GB"/>
        </w:rPr>
        <w:t xml:space="preserve">, B. E., Al </w:t>
      </w:r>
      <w:proofErr w:type="spellStart"/>
      <w:r w:rsidRPr="007F2BA2">
        <w:rPr>
          <w:lang w:val="en-GB"/>
        </w:rPr>
        <w:t>Hadid</w:t>
      </w:r>
      <w:proofErr w:type="spellEnd"/>
      <w:r w:rsidRPr="007F2BA2">
        <w:rPr>
          <w:lang w:val="en-GB"/>
        </w:rPr>
        <w:t xml:space="preserve">, L., </w:t>
      </w:r>
      <w:proofErr w:type="spellStart"/>
      <w:r w:rsidRPr="007F2BA2">
        <w:rPr>
          <w:lang w:val="en-GB"/>
        </w:rPr>
        <w:t>Alzoubi</w:t>
      </w:r>
      <w:proofErr w:type="spellEnd"/>
      <w:r w:rsidRPr="007F2BA2">
        <w:rPr>
          <w:lang w:val="en-GB"/>
        </w:rPr>
        <w:t>, M. M., Al-</w:t>
      </w:r>
      <w:proofErr w:type="spellStart"/>
      <w:r w:rsidRPr="007F2BA2">
        <w:rPr>
          <w:lang w:val="en-GB"/>
        </w:rPr>
        <w:t>Mugheed</w:t>
      </w:r>
      <w:proofErr w:type="spellEnd"/>
      <w:r w:rsidRPr="007F2BA2">
        <w:rPr>
          <w:lang w:val="en-GB"/>
        </w:rPr>
        <w:t xml:space="preserve">, </w:t>
      </w:r>
      <w:r w:rsidR="005279AE">
        <w:rPr>
          <w:lang w:val="en-GB"/>
        </w:rPr>
        <w:br/>
      </w:r>
      <w:r w:rsidRPr="007F2BA2">
        <w:rPr>
          <w:lang w:val="en-GB"/>
        </w:rPr>
        <w:t xml:space="preserve">K., </w:t>
      </w:r>
      <w:proofErr w:type="spellStart"/>
      <w:r w:rsidRPr="007F2BA2">
        <w:rPr>
          <w:lang w:val="en-GB"/>
        </w:rPr>
        <w:t>Alabdullah</w:t>
      </w:r>
      <w:proofErr w:type="spellEnd"/>
      <w:r w:rsidRPr="007F2BA2">
        <w:rPr>
          <w:lang w:val="en-GB"/>
        </w:rPr>
        <w:t xml:space="preserve">, A. A. S., </w:t>
      </w:r>
      <w:proofErr w:type="spellStart"/>
      <w:r w:rsidRPr="007F2BA2">
        <w:rPr>
          <w:lang w:val="en-GB"/>
        </w:rPr>
        <w:t>Abdelaliem</w:t>
      </w:r>
      <w:proofErr w:type="spellEnd"/>
      <w:r w:rsidRPr="007F2BA2">
        <w:rPr>
          <w:lang w:val="en-GB"/>
        </w:rPr>
        <w:t xml:space="preserve">, S. M. F. (2025). Measuring the prevalence, warning signs, and preventive measures of secondary traumatic stress among critical care nurses. </w:t>
      </w:r>
      <w:r w:rsidRPr="007F2BA2">
        <w:rPr>
          <w:i/>
          <w:lang w:val="en-GB"/>
        </w:rPr>
        <w:t>BMC Psychiatry, 25</w:t>
      </w:r>
      <w:r w:rsidRPr="007F2BA2">
        <w:rPr>
          <w:lang w:val="en-GB"/>
        </w:rPr>
        <w:t>(1), 1–10. https://doi.org/10.1186/s12888-025-06840-1</w:t>
      </w:r>
    </w:p>
    <w:p w:rsidR="00000000" w:rsidRDefault="007F2BA2">
      <w:pPr>
        <w:pStyle w:val="Normalny1"/>
        <w:ind w:left="720" w:hanging="720"/>
        <w:jc w:val="both"/>
        <w:rPr>
          <w:lang w:val="en-GB"/>
        </w:rPr>
      </w:pPr>
      <w:r w:rsidRPr="007F2BA2">
        <w:rPr>
          <w:lang w:val="en-GB"/>
        </w:rPr>
        <w:t xml:space="preserve">American Psychiatric Association. (2013). </w:t>
      </w:r>
      <w:r w:rsidRPr="007F2BA2">
        <w:rPr>
          <w:i/>
          <w:lang w:val="en-GB"/>
        </w:rPr>
        <w:t xml:space="preserve">Diagnostic and statistical manual of mental disorders (5th ed.). </w:t>
      </w:r>
      <w:r w:rsidRPr="007F2BA2">
        <w:rPr>
          <w:lang w:val="en-GB"/>
        </w:rPr>
        <w:t>American Psychiatric Publishing.</w:t>
      </w:r>
    </w:p>
    <w:p w:rsidR="00000000" w:rsidRDefault="007F2BA2">
      <w:pPr>
        <w:pStyle w:val="Normalny1"/>
        <w:ind w:left="720" w:hanging="720"/>
        <w:jc w:val="both"/>
      </w:pPr>
      <w:r w:rsidRPr="007F2BA2">
        <w:rPr>
          <w:lang w:val="en-GB"/>
        </w:rPr>
        <w:lastRenderedPageBreak/>
        <w:t xml:space="preserve">Annunziata, K. N., </w:t>
      </w:r>
      <w:proofErr w:type="spellStart"/>
      <w:r w:rsidRPr="007F2BA2">
        <w:rPr>
          <w:lang w:val="en-GB"/>
        </w:rPr>
        <w:t>Naraindas</w:t>
      </w:r>
      <w:proofErr w:type="spellEnd"/>
      <w:r w:rsidRPr="007F2BA2">
        <w:rPr>
          <w:lang w:val="en-GB"/>
        </w:rPr>
        <w:t xml:space="preserve">, A. M., Donohue, G. (2024). The Impact of Trauma on Addiction Workers: An Exploration of Vicarious Trauma and Vicarious Post-traumatic Growth. </w:t>
      </w:r>
      <w:proofErr w:type="spellStart"/>
      <w:r w:rsidR="00882F43">
        <w:rPr>
          <w:i/>
        </w:rPr>
        <w:t>Psy</w:t>
      </w:r>
      <w:r w:rsidR="00882F43">
        <w:rPr>
          <w:i/>
        </w:rPr>
        <w:t>chology</w:t>
      </w:r>
      <w:proofErr w:type="spellEnd"/>
      <w:r w:rsidR="00882F43">
        <w:rPr>
          <w:i/>
        </w:rPr>
        <w:t xml:space="preserve"> International</w:t>
      </w:r>
      <w:r w:rsidR="00882F43">
        <w:t xml:space="preserve">, </w:t>
      </w:r>
      <w:r w:rsidR="00882F43">
        <w:rPr>
          <w:i/>
        </w:rPr>
        <w:t>6</w:t>
      </w:r>
      <w:r w:rsidR="00882F43">
        <w:t>(2), 651–666.</w:t>
      </w:r>
    </w:p>
    <w:p w:rsidR="00000000" w:rsidRDefault="00882F43">
      <w:pPr>
        <w:pStyle w:val="Normalny1"/>
        <w:ind w:left="720" w:hanging="720"/>
        <w:jc w:val="both"/>
        <w:rPr>
          <w:lang w:val="en-GB"/>
        </w:rPr>
      </w:pPr>
      <w:r>
        <w:t xml:space="preserve">Bąk, G., Ogińska-Bulik, N. (2024). </w:t>
      </w:r>
      <w:r>
        <w:rPr>
          <w:i/>
        </w:rPr>
        <w:t xml:space="preserve">Wtórna traumatyzacja wśród funkcjonariuszy policji. </w:t>
      </w:r>
      <w:proofErr w:type="spellStart"/>
      <w:r w:rsidR="007F2BA2" w:rsidRPr="007F2BA2">
        <w:rPr>
          <w:i/>
          <w:lang w:val="en-GB"/>
        </w:rPr>
        <w:t>Konsekwencje</w:t>
      </w:r>
      <w:proofErr w:type="spellEnd"/>
      <w:r w:rsidR="007F2BA2" w:rsidRPr="007F2BA2">
        <w:rPr>
          <w:i/>
          <w:lang w:val="en-GB"/>
        </w:rPr>
        <w:t xml:space="preserve"> i </w:t>
      </w:r>
      <w:proofErr w:type="spellStart"/>
      <w:r w:rsidR="007F2BA2" w:rsidRPr="007F2BA2">
        <w:rPr>
          <w:i/>
          <w:lang w:val="en-GB"/>
        </w:rPr>
        <w:t>uwarunkowania</w:t>
      </w:r>
      <w:proofErr w:type="spellEnd"/>
      <w:r w:rsidR="007F2BA2" w:rsidRPr="007F2BA2">
        <w:rPr>
          <w:lang w:val="en-GB"/>
        </w:rPr>
        <w:t xml:space="preserve">. </w:t>
      </w:r>
      <w:proofErr w:type="spellStart"/>
      <w:r w:rsidR="007F2BA2" w:rsidRPr="007F2BA2">
        <w:rPr>
          <w:lang w:val="en-GB"/>
        </w:rPr>
        <w:t>Difin</w:t>
      </w:r>
      <w:proofErr w:type="spellEnd"/>
      <w:r w:rsidR="007F2BA2" w:rsidRPr="007F2BA2">
        <w:rPr>
          <w:lang w:val="en-GB"/>
        </w:rPr>
        <w:t xml:space="preserve">. </w:t>
      </w:r>
    </w:p>
    <w:p w:rsidR="00000000" w:rsidRDefault="007F2BA2">
      <w:pPr>
        <w:pStyle w:val="Normalny1"/>
        <w:ind w:left="720" w:hanging="720"/>
        <w:jc w:val="both"/>
        <w:rPr>
          <w:lang w:val="en-GB"/>
        </w:rPr>
      </w:pPr>
      <w:r w:rsidRPr="007F2BA2">
        <w:rPr>
          <w:lang w:val="en-GB"/>
        </w:rPr>
        <w:t>Ben-</w:t>
      </w:r>
      <w:proofErr w:type="spellStart"/>
      <w:r w:rsidRPr="007F2BA2">
        <w:rPr>
          <w:lang w:val="en-GB"/>
        </w:rPr>
        <w:t>Porat</w:t>
      </w:r>
      <w:proofErr w:type="spellEnd"/>
      <w:r w:rsidRPr="007F2BA2">
        <w:rPr>
          <w:lang w:val="en-GB"/>
        </w:rPr>
        <w:t xml:space="preserve">, A. (2023). Vicarious Posttraumatic Growth in Social Workers: The Israeli Case. W: The </w:t>
      </w:r>
      <w:proofErr w:type="spellStart"/>
      <w:r w:rsidRPr="007F2BA2">
        <w:rPr>
          <w:lang w:val="en-GB"/>
        </w:rPr>
        <w:t>Routledge</w:t>
      </w:r>
      <w:proofErr w:type="spellEnd"/>
      <w:r w:rsidRPr="007F2BA2">
        <w:rPr>
          <w:lang w:val="en-GB"/>
        </w:rPr>
        <w:t xml:space="preserve"> International Handbook of Posttraumatic Growth (pp. 489–495). </w:t>
      </w:r>
      <w:proofErr w:type="spellStart"/>
      <w:r w:rsidRPr="007F2BA2">
        <w:rPr>
          <w:lang w:val="en-GB"/>
        </w:rPr>
        <w:t>Routledge</w:t>
      </w:r>
      <w:proofErr w:type="spellEnd"/>
      <w:r w:rsidRPr="007F2BA2">
        <w:rPr>
          <w:lang w:val="en-GB"/>
        </w:rPr>
        <w:t>.</w:t>
      </w:r>
    </w:p>
    <w:p w:rsidR="00000000" w:rsidRDefault="007F2BA2">
      <w:pPr>
        <w:pStyle w:val="Normalny1"/>
        <w:ind w:left="720" w:hanging="720"/>
        <w:jc w:val="both"/>
        <w:rPr>
          <w:lang w:val="en-GB"/>
        </w:rPr>
      </w:pPr>
      <w:r w:rsidRPr="007F2BA2">
        <w:rPr>
          <w:lang w:val="en-GB"/>
        </w:rPr>
        <w:t xml:space="preserve">Bride, B. E., Robinson, M. R., </w:t>
      </w:r>
      <w:proofErr w:type="spellStart"/>
      <w:r w:rsidRPr="007F2BA2">
        <w:rPr>
          <w:lang w:val="en-GB"/>
        </w:rPr>
        <w:t>Yegidis</w:t>
      </w:r>
      <w:proofErr w:type="spellEnd"/>
      <w:r w:rsidRPr="007F2BA2">
        <w:rPr>
          <w:lang w:val="en-GB"/>
        </w:rPr>
        <w:t xml:space="preserve">, B., </w:t>
      </w:r>
      <w:proofErr w:type="spellStart"/>
      <w:r w:rsidRPr="007F2BA2">
        <w:rPr>
          <w:lang w:val="en-GB"/>
        </w:rPr>
        <w:t>Figley</w:t>
      </w:r>
      <w:proofErr w:type="spellEnd"/>
      <w:r w:rsidRPr="007F2BA2">
        <w:rPr>
          <w:lang w:val="en-GB"/>
        </w:rPr>
        <w:t>, C. R. (2004). Development and validation of the Secondary Traumatic Stress Scale. </w:t>
      </w:r>
      <w:r w:rsidRPr="007F2BA2">
        <w:rPr>
          <w:i/>
          <w:lang w:val="en-GB"/>
        </w:rPr>
        <w:t>Research on Social Work Practice, 14</w:t>
      </w:r>
      <w:r w:rsidRPr="007F2BA2">
        <w:rPr>
          <w:lang w:val="en-GB"/>
        </w:rPr>
        <w:t>(1), 27–35. https://doi.org/10.1177/1049731503254106</w:t>
      </w:r>
    </w:p>
    <w:p w:rsidR="00000000" w:rsidRDefault="007F2BA2">
      <w:pPr>
        <w:pStyle w:val="Normalny1"/>
        <w:ind w:left="720" w:hanging="720"/>
        <w:jc w:val="both"/>
        <w:rPr>
          <w:color w:val="000000"/>
          <w:lang w:val="en-GB"/>
        </w:rPr>
      </w:pPr>
      <w:proofErr w:type="spellStart"/>
      <w:r w:rsidRPr="007F2BA2">
        <w:rPr>
          <w:color w:val="000000"/>
          <w:lang w:val="en-GB"/>
        </w:rPr>
        <w:t>Benuto</w:t>
      </w:r>
      <w:proofErr w:type="spellEnd"/>
      <w:r w:rsidRPr="007F2BA2">
        <w:rPr>
          <w:color w:val="000000"/>
          <w:lang w:val="en-GB"/>
        </w:rPr>
        <w:t xml:space="preserve">, L. T., Yang, Y., </w:t>
      </w:r>
      <w:proofErr w:type="spellStart"/>
      <w:r w:rsidRPr="007F2BA2">
        <w:rPr>
          <w:color w:val="000000"/>
          <w:lang w:val="en-GB"/>
        </w:rPr>
        <w:t>Ahrendt</w:t>
      </w:r>
      <w:proofErr w:type="spellEnd"/>
      <w:r w:rsidRPr="007F2BA2">
        <w:rPr>
          <w:color w:val="000000"/>
          <w:lang w:val="en-GB"/>
        </w:rPr>
        <w:t xml:space="preserve">, A., Cummings, C. (2021). The secondary traumatic stress scale: confirmatory factor analyses with a national sample of victim advocates. </w:t>
      </w:r>
      <w:r w:rsidRPr="007F2BA2">
        <w:rPr>
          <w:i/>
          <w:color w:val="000000"/>
          <w:lang w:val="en-GB"/>
        </w:rPr>
        <w:t>Journal of Interpersonal Violence</w:t>
      </w:r>
      <w:r w:rsidRPr="007F2BA2">
        <w:rPr>
          <w:color w:val="000000"/>
          <w:lang w:val="en-GB"/>
        </w:rPr>
        <w:t xml:space="preserve">, </w:t>
      </w:r>
      <w:r w:rsidRPr="007F2BA2">
        <w:rPr>
          <w:i/>
          <w:color w:val="000000"/>
          <w:lang w:val="en-GB"/>
        </w:rPr>
        <w:t>36</w:t>
      </w:r>
      <w:r w:rsidRPr="007F2BA2">
        <w:rPr>
          <w:color w:val="000000"/>
          <w:lang w:val="en-GB"/>
        </w:rPr>
        <w:t>(5–6), 2572–2591.</w:t>
      </w:r>
    </w:p>
    <w:p w:rsidR="00000000" w:rsidRDefault="007F2BA2">
      <w:pPr>
        <w:pStyle w:val="Normalny1"/>
        <w:ind w:left="720" w:hanging="720"/>
        <w:jc w:val="both"/>
        <w:rPr>
          <w:color w:val="000000"/>
          <w:lang w:val="en-GB"/>
        </w:rPr>
      </w:pPr>
      <w:proofErr w:type="spellStart"/>
      <w:r w:rsidRPr="007F2BA2">
        <w:rPr>
          <w:color w:val="000000"/>
          <w:lang w:val="en-GB"/>
        </w:rPr>
        <w:t>Cai</w:t>
      </w:r>
      <w:proofErr w:type="spellEnd"/>
      <w:r w:rsidRPr="007F2BA2">
        <w:rPr>
          <w:color w:val="000000"/>
          <w:lang w:val="en-GB"/>
        </w:rPr>
        <w:t xml:space="preserve">, Y., Liu, M., </w:t>
      </w:r>
      <w:proofErr w:type="spellStart"/>
      <w:r w:rsidRPr="007F2BA2">
        <w:rPr>
          <w:color w:val="000000"/>
          <w:lang w:val="en-GB"/>
        </w:rPr>
        <w:t>Luo</w:t>
      </w:r>
      <w:proofErr w:type="spellEnd"/>
      <w:r w:rsidRPr="007F2BA2">
        <w:rPr>
          <w:color w:val="000000"/>
          <w:lang w:val="en-GB"/>
        </w:rPr>
        <w:t xml:space="preserve">, W., Zhang, J., </w:t>
      </w:r>
      <w:proofErr w:type="spellStart"/>
      <w:r w:rsidRPr="007F2BA2">
        <w:rPr>
          <w:color w:val="000000"/>
          <w:lang w:val="en-GB"/>
        </w:rPr>
        <w:t>Qu</w:t>
      </w:r>
      <w:proofErr w:type="spellEnd"/>
      <w:r w:rsidRPr="007F2BA2">
        <w:rPr>
          <w:color w:val="000000"/>
          <w:lang w:val="en-GB"/>
        </w:rPr>
        <w:t xml:space="preserve">, C. (2024). Scoping review of vicarious post-traumatic growth among nurses: current knowledge and research gaps. </w:t>
      </w:r>
      <w:r w:rsidRPr="007F2BA2">
        <w:rPr>
          <w:i/>
          <w:color w:val="000000"/>
          <w:lang w:val="en-GB"/>
        </w:rPr>
        <w:t xml:space="preserve">Psychology Research and </w:t>
      </w:r>
      <w:proofErr w:type="spellStart"/>
      <w:r w:rsidRPr="007F2BA2">
        <w:rPr>
          <w:i/>
          <w:color w:val="000000"/>
          <w:lang w:val="en-GB"/>
        </w:rPr>
        <w:t>Behavior</w:t>
      </w:r>
      <w:proofErr w:type="spellEnd"/>
      <w:r w:rsidRPr="007F2BA2">
        <w:rPr>
          <w:i/>
          <w:color w:val="000000"/>
          <w:lang w:val="en-GB"/>
        </w:rPr>
        <w:t xml:space="preserve"> Management</w:t>
      </w:r>
      <w:r w:rsidRPr="007F2BA2">
        <w:rPr>
          <w:color w:val="000000"/>
          <w:lang w:val="en-GB"/>
        </w:rPr>
        <w:t>, 3637–3657.</w:t>
      </w:r>
    </w:p>
    <w:p w:rsidR="00000000" w:rsidRDefault="007F2BA2">
      <w:pPr>
        <w:pStyle w:val="Normalny1"/>
        <w:ind w:left="720" w:hanging="720"/>
        <w:jc w:val="both"/>
        <w:rPr>
          <w:lang w:val="en-GB"/>
        </w:rPr>
      </w:pPr>
      <w:proofErr w:type="spellStart"/>
      <w:r w:rsidRPr="007F2BA2">
        <w:rPr>
          <w:lang w:val="en-GB"/>
        </w:rPr>
        <w:t>Cieślak</w:t>
      </w:r>
      <w:proofErr w:type="spellEnd"/>
      <w:r w:rsidRPr="007F2BA2">
        <w:rPr>
          <w:lang w:val="en-GB"/>
        </w:rPr>
        <w:t xml:space="preserve">, R., Shoji, K., Douglas, A., Melville, E., </w:t>
      </w:r>
      <w:proofErr w:type="spellStart"/>
      <w:r w:rsidRPr="007F2BA2">
        <w:rPr>
          <w:lang w:val="en-GB"/>
        </w:rPr>
        <w:t>Luszczynska</w:t>
      </w:r>
      <w:proofErr w:type="spellEnd"/>
      <w:r w:rsidRPr="007F2BA2">
        <w:rPr>
          <w:lang w:val="en-GB"/>
        </w:rPr>
        <w:t xml:space="preserve">, A., </w:t>
      </w:r>
      <w:proofErr w:type="spellStart"/>
      <w:r w:rsidRPr="007F2BA2">
        <w:rPr>
          <w:lang w:val="en-GB"/>
        </w:rPr>
        <w:t>Benight</w:t>
      </w:r>
      <w:proofErr w:type="spellEnd"/>
      <w:r w:rsidRPr="007F2BA2">
        <w:rPr>
          <w:lang w:val="en-GB"/>
        </w:rPr>
        <w:t xml:space="preserve">, C. C. (2014). </w:t>
      </w:r>
      <w:r w:rsidR="005279AE">
        <w:rPr>
          <w:lang w:val="en-GB"/>
        </w:rPr>
        <w:br/>
      </w:r>
      <w:r w:rsidRPr="007F2BA2">
        <w:rPr>
          <w:lang w:val="en-GB"/>
        </w:rPr>
        <w:t>A meta-analysis of the relationship between job burnout and secondary traumatic stress among workers with indirect exposure to trauma. </w:t>
      </w:r>
      <w:r w:rsidRPr="007F2BA2">
        <w:rPr>
          <w:i/>
          <w:lang w:val="en-GB"/>
        </w:rPr>
        <w:t>Psychological Services, 11</w:t>
      </w:r>
      <w:r w:rsidRPr="007F2BA2">
        <w:rPr>
          <w:lang w:val="en-GB"/>
        </w:rPr>
        <w:t>(1), 75–86. https://doi.org/10.1037/a0033798</w:t>
      </w:r>
    </w:p>
    <w:p w:rsidR="00000000" w:rsidRDefault="007F2BA2">
      <w:pPr>
        <w:pStyle w:val="Normalny1"/>
        <w:ind w:left="720" w:hanging="720"/>
        <w:jc w:val="both"/>
        <w:rPr>
          <w:color w:val="000000"/>
          <w:lang w:val="en-GB"/>
        </w:rPr>
      </w:pPr>
      <w:r w:rsidRPr="007F2BA2">
        <w:rPr>
          <w:color w:val="000000"/>
          <w:lang w:val="en-GB"/>
        </w:rPr>
        <w:t xml:space="preserve">Cleary, E., Curran, D., Dyer, K., Simms, J., Hanna, D. (2024). Contributing factors to secondary traumatic stress and vicarious posttraumatic growth in therapists. </w:t>
      </w:r>
      <w:r w:rsidRPr="007F2BA2">
        <w:rPr>
          <w:i/>
          <w:color w:val="000000"/>
          <w:lang w:val="en-GB"/>
        </w:rPr>
        <w:t>Journal of Traumatic Stress</w:t>
      </w:r>
      <w:r w:rsidRPr="007F2BA2">
        <w:rPr>
          <w:color w:val="000000"/>
          <w:lang w:val="en-GB"/>
        </w:rPr>
        <w:t xml:space="preserve">, </w:t>
      </w:r>
      <w:r w:rsidRPr="007F2BA2">
        <w:rPr>
          <w:i/>
          <w:color w:val="000000"/>
          <w:lang w:val="en-GB"/>
        </w:rPr>
        <w:t>37</w:t>
      </w:r>
      <w:r w:rsidRPr="007F2BA2">
        <w:rPr>
          <w:color w:val="000000"/>
          <w:lang w:val="en-GB"/>
        </w:rPr>
        <w:t>(1), 103-112.</w:t>
      </w:r>
    </w:p>
    <w:p w:rsidR="00000000" w:rsidRDefault="007F2BA2">
      <w:pPr>
        <w:pStyle w:val="Normalny1"/>
        <w:ind w:left="720" w:hanging="720"/>
        <w:jc w:val="both"/>
        <w:rPr>
          <w:color w:val="000000"/>
          <w:lang w:val="en-GB"/>
        </w:rPr>
      </w:pPr>
      <w:r w:rsidRPr="007F2BA2">
        <w:rPr>
          <w:color w:val="000000"/>
          <w:lang w:val="en-GB"/>
        </w:rPr>
        <w:t xml:space="preserve">Cohen, K., </w:t>
      </w:r>
      <w:proofErr w:type="spellStart"/>
      <w:r w:rsidRPr="007F2BA2">
        <w:rPr>
          <w:color w:val="000000"/>
          <w:lang w:val="en-GB"/>
        </w:rPr>
        <w:t>Collens</w:t>
      </w:r>
      <w:proofErr w:type="spellEnd"/>
      <w:r w:rsidRPr="007F2BA2">
        <w:rPr>
          <w:color w:val="000000"/>
          <w:lang w:val="en-GB"/>
        </w:rPr>
        <w:t xml:space="preserve">, P. (2013). The impact of trauma work on trauma workers: </w:t>
      </w:r>
      <w:r w:rsidR="00720E04">
        <w:rPr>
          <w:color w:val="000000"/>
          <w:lang w:val="en-GB"/>
        </w:rPr>
        <w:br/>
      </w:r>
      <w:r w:rsidRPr="007F2BA2">
        <w:rPr>
          <w:color w:val="000000"/>
          <w:lang w:val="en-GB"/>
        </w:rPr>
        <w:t xml:space="preserve">A </w:t>
      </w:r>
      <w:proofErr w:type="spellStart"/>
      <w:r w:rsidRPr="007F2BA2">
        <w:rPr>
          <w:color w:val="000000"/>
          <w:lang w:val="en-GB"/>
        </w:rPr>
        <w:t>metasynthesis</w:t>
      </w:r>
      <w:proofErr w:type="spellEnd"/>
      <w:r w:rsidRPr="007F2BA2">
        <w:rPr>
          <w:color w:val="000000"/>
          <w:lang w:val="en-GB"/>
        </w:rPr>
        <w:t xml:space="preserve"> on vicarious trauma and vicarious posttraumatic growth. </w:t>
      </w:r>
      <w:r w:rsidRPr="007F2BA2">
        <w:rPr>
          <w:i/>
          <w:color w:val="000000"/>
          <w:lang w:val="en-GB"/>
        </w:rPr>
        <w:t>Psychological Trauma: Theory, Research, Practice, and Policy, 5</w:t>
      </w:r>
      <w:r w:rsidRPr="007F2BA2">
        <w:rPr>
          <w:color w:val="000000"/>
          <w:lang w:val="en-GB"/>
        </w:rPr>
        <w:t>(6), 570–580.</w:t>
      </w:r>
    </w:p>
    <w:p w:rsidR="00000000" w:rsidRDefault="007F2BA2">
      <w:pPr>
        <w:pStyle w:val="Normalny1"/>
        <w:ind w:left="720" w:hanging="720"/>
        <w:jc w:val="both"/>
        <w:rPr>
          <w:color w:val="000000"/>
          <w:lang w:val="en-GB"/>
        </w:rPr>
      </w:pPr>
      <w:proofErr w:type="spellStart"/>
      <w:r w:rsidRPr="007F2BA2">
        <w:rPr>
          <w:color w:val="000000"/>
          <w:lang w:val="en-GB"/>
        </w:rPr>
        <w:t>Cuthrell</w:t>
      </w:r>
      <w:proofErr w:type="spellEnd"/>
      <w:r w:rsidRPr="007F2BA2">
        <w:rPr>
          <w:color w:val="000000"/>
          <w:lang w:val="en-GB"/>
        </w:rPr>
        <w:t xml:space="preserve">, K. M., </w:t>
      </w:r>
      <w:proofErr w:type="spellStart"/>
      <w:r w:rsidRPr="007F2BA2">
        <w:rPr>
          <w:color w:val="000000"/>
          <w:lang w:val="en-GB"/>
        </w:rPr>
        <w:t>Villamar</w:t>
      </w:r>
      <w:proofErr w:type="spellEnd"/>
      <w:r w:rsidRPr="007F2BA2">
        <w:rPr>
          <w:color w:val="000000"/>
          <w:lang w:val="en-GB"/>
        </w:rPr>
        <w:t xml:space="preserve">, M., Green, T. (2022). Analysis of Secondary Traumatic Stress Among Physicians. </w:t>
      </w:r>
      <w:r w:rsidRPr="007F2BA2">
        <w:rPr>
          <w:i/>
          <w:color w:val="000000"/>
          <w:lang w:val="en-GB"/>
        </w:rPr>
        <w:t>Asian Journal of Advances in Medical Science</w:t>
      </w:r>
      <w:r w:rsidRPr="007F2BA2">
        <w:rPr>
          <w:color w:val="000000"/>
          <w:lang w:val="en-GB"/>
        </w:rPr>
        <w:t xml:space="preserve">, </w:t>
      </w:r>
      <w:r w:rsidRPr="007F2BA2">
        <w:rPr>
          <w:i/>
          <w:color w:val="000000"/>
          <w:lang w:val="en-GB"/>
        </w:rPr>
        <w:t>4</w:t>
      </w:r>
      <w:r w:rsidRPr="007F2BA2">
        <w:rPr>
          <w:color w:val="000000"/>
          <w:lang w:val="en-GB"/>
        </w:rPr>
        <w:t>(4), 72–86.</w:t>
      </w:r>
    </w:p>
    <w:p w:rsidR="00000000" w:rsidRDefault="007F2BA2">
      <w:pPr>
        <w:pStyle w:val="Normalny1"/>
        <w:ind w:left="720" w:hanging="720"/>
        <w:jc w:val="both"/>
        <w:rPr>
          <w:color w:val="000000"/>
          <w:lang w:val="en-GB"/>
        </w:rPr>
      </w:pPr>
      <w:r w:rsidRPr="007F2BA2">
        <w:rPr>
          <w:color w:val="000000"/>
          <w:lang w:val="en-GB"/>
        </w:rPr>
        <w:t xml:space="preserve">Daly, B., </w:t>
      </w:r>
      <w:proofErr w:type="spellStart"/>
      <w:r w:rsidRPr="007F2BA2">
        <w:rPr>
          <w:color w:val="000000"/>
          <w:lang w:val="en-GB"/>
        </w:rPr>
        <w:t>Chovaz</w:t>
      </w:r>
      <w:proofErr w:type="spellEnd"/>
      <w:r w:rsidRPr="007F2BA2">
        <w:rPr>
          <w:color w:val="000000"/>
          <w:lang w:val="en-GB"/>
        </w:rPr>
        <w:t xml:space="preserve">, C. J. (2020). Secondary Traumatic Stress: Effects on the Professional Quality of Life of Sign Language Interpreters. </w:t>
      </w:r>
      <w:r w:rsidRPr="007F2BA2">
        <w:rPr>
          <w:i/>
          <w:color w:val="000000"/>
          <w:lang w:val="en-GB"/>
        </w:rPr>
        <w:t>American Annals of the Deaf</w:t>
      </w:r>
      <w:r w:rsidRPr="007F2BA2">
        <w:rPr>
          <w:color w:val="000000"/>
          <w:lang w:val="en-GB"/>
        </w:rPr>
        <w:t xml:space="preserve">, </w:t>
      </w:r>
      <w:r w:rsidRPr="007F2BA2">
        <w:rPr>
          <w:i/>
          <w:color w:val="000000"/>
          <w:lang w:val="en-GB"/>
        </w:rPr>
        <w:t>165</w:t>
      </w:r>
      <w:r w:rsidRPr="007F2BA2">
        <w:rPr>
          <w:color w:val="000000"/>
          <w:lang w:val="en-GB"/>
        </w:rPr>
        <w:t>(3), 353–367. https://doi.org/10.1353/aad.2020.0023</w:t>
      </w:r>
    </w:p>
    <w:p w:rsidR="00000000" w:rsidRDefault="007F2BA2">
      <w:pPr>
        <w:pStyle w:val="Normalny1"/>
        <w:ind w:left="720" w:hanging="720"/>
        <w:jc w:val="both"/>
        <w:rPr>
          <w:color w:val="000000"/>
          <w:lang w:val="en-GB"/>
        </w:rPr>
      </w:pPr>
      <w:proofErr w:type="spellStart"/>
      <w:r w:rsidRPr="007F2BA2">
        <w:rPr>
          <w:color w:val="000000"/>
          <w:lang w:val="en-GB"/>
        </w:rPr>
        <w:t>Figley</w:t>
      </w:r>
      <w:proofErr w:type="spellEnd"/>
      <w:r w:rsidRPr="007F2BA2">
        <w:rPr>
          <w:color w:val="000000"/>
          <w:lang w:val="en-GB"/>
        </w:rPr>
        <w:t xml:space="preserve">, C. R. (1995). </w:t>
      </w:r>
      <w:r w:rsidRPr="007F2BA2">
        <w:rPr>
          <w:i/>
          <w:color w:val="000000"/>
          <w:lang w:val="en-GB"/>
        </w:rPr>
        <w:t>Compassion fatigue: Coping with secondary traumatic stress disorder in those who treat the traumatized</w:t>
      </w:r>
      <w:r w:rsidRPr="007F2BA2">
        <w:rPr>
          <w:color w:val="000000"/>
          <w:lang w:val="en-GB"/>
        </w:rPr>
        <w:t>. Brunner/</w:t>
      </w:r>
      <w:proofErr w:type="spellStart"/>
      <w:r w:rsidRPr="007F2BA2">
        <w:rPr>
          <w:color w:val="000000"/>
          <w:lang w:val="en-GB"/>
        </w:rPr>
        <w:t>Mazel</w:t>
      </w:r>
      <w:proofErr w:type="spellEnd"/>
      <w:r w:rsidRPr="007F2BA2">
        <w:rPr>
          <w:color w:val="000000"/>
          <w:lang w:val="en-GB"/>
        </w:rPr>
        <w:t>.</w:t>
      </w:r>
    </w:p>
    <w:p w:rsidR="005279AE" w:rsidRDefault="007F2BA2" w:rsidP="005279AE">
      <w:pPr>
        <w:pStyle w:val="Normalny1"/>
        <w:ind w:left="720" w:hanging="720"/>
        <w:jc w:val="both"/>
        <w:rPr>
          <w:color w:val="000000"/>
          <w:lang w:val="en-GB"/>
        </w:rPr>
      </w:pPr>
      <w:proofErr w:type="spellStart"/>
      <w:r w:rsidRPr="007F2BA2">
        <w:rPr>
          <w:color w:val="000000"/>
          <w:lang w:val="en-GB"/>
        </w:rPr>
        <w:lastRenderedPageBreak/>
        <w:t>Figley</w:t>
      </w:r>
      <w:proofErr w:type="spellEnd"/>
      <w:r w:rsidRPr="007F2BA2">
        <w:rPr>
          <w:color w:val="000000"/>
          <w:lang w:val="en-GB"/>
        </w:rPr>
        <w:t xml:space="preserve">, C. R. (2002). Compassion fatigue: Psychotherapists’ chronic lack of self-care. </w:t>
      </w:r>
      <w:r w:rsidRPr="007F2BA2">
        <w:rPr>
          <w:i/>
          <w:color w:val="000000"/>
          <w:lang w:val="en-GB"/>
        </w:rPr>
        <w:t>Journal of Clinical Psychology, 58</w:t>
      </w:r>
      <w:r w:rsidRPr="007F2BA2">
        <w:rPr>
          <w:color w:val="000000"/>
          <w:lang w:val="en-GB"/>
        </w:rPr>
        <w:t xml:space="preserve">(11), 1433–1441. </w:t>
      </w:r>
    </w:p>
    <w:p w:rsidR="00000000" w:rsidRDefault="007F2BA2">
      <w:pPr>
        <w:pStyle w:val="Normalny1"/>
        <w:ind w:left="720"/>
        <w:jc w:val="both"/>
        <w:rPr>
          <w:color w:val="000000"/>
          <w:lang w:val="en-GB"/>
        </w:rPr>
      </w:pPr>
      <w:r w:rsidRPr="007F2BA2">
        <w:rPr>
          <w:color w:val="000000"/>
          <w:lang w:val="en-GB"/>
        </w:rPr>
        <w:t>https://doi.org/10.1002/jclp.10090</w:t>
      </w:r>
    </w:p>
    <w:p w:rsidR="00000000" w:rsidRDefault="007F2BA2">
      <w:pPr>
        <w:pStyle w:val="Normalny1"/>
        <w:ind w:left="720" w:hanging="720"/>
        <w:jc w:val="both"/>
        <w:rPr>
          <w:color w:val="000000"/>
          <w:lang w:val="en-GB"/>
        </w:rPr>
      </w:pPr>
      <w:proofErr w:type="spellStart"/>
      <w:r w:rsidRPr="007F2BA2">
        <w:rPr>
          <w:color w:val="000000"/>
          <w:lang w:val="en-GB"/>
        </w:rPr>
        <w:t>Geoffrion</w:t>
      </w:r>
      <w:proofErr w:type="spellEnd"/>
      <w:r w:rsidRPr="007F2BA2">
        <w:rPr>
          <w:color w:val="000000"/>
          <w:lang w:val="en-GB"/>
        </w:rPr>
        <w:t xml:space="preserve">, S., </w:t>
      </w:r>
      <w:proofErr w:type="spellStart"/>
      <w:r w:rsidRPr="007F2BA2">
        <w:rPr>
          <w:color w:val="000000"/>
          <w:lang w:val="en-GB"/>
        </w:rPr>
        <w:t>Lamothe</w:t>
      </w:r>
      <w:proofErr w:type="spellEnd"/>
      <w:r w:rsidRPr="007F2BA2">
        <w:rPr>
          <w:color w:val="000000"/>
          <w:lang w:val="en-GB"/>
        </w:rPr>
        <w:t xml:space="preserve">, J., </w:t>
      </w:r>
      <w:proofErr w:type="spellStart"/>
      <w:r w:rsidRPr="007F2BA2">
        <w:rPr>
          <w:color w:val="000000"/>
          <w:lang w:val="en-GB"/>
        </w:rPr>
        <w:t>Morizot</w:t>
      </w:r>
      <w:proofErr w:type="spellEnd"/>
      <w:r w:rsidRPr="007F2BA2">
        <w:rPr>
          <w:color w:val="000000"/>
          <w:lang w:val="en-GB"/>
        </w:rPr>
        <w:t xml:space="preserve">, J., </w:t>
      </w:r>
      <w:proofErr w:type="spellStart"/>
      <w:r w:rsidRPr="007F2BA2">
        <w:rPr>
          <w:color w:val="000000"/>
          <w:lang w:val="en-GB"/>
        </w:rPr>
        <w:t>Giguère</w:t>
      </w:r>
      <w:proofErr w:type="spellEnd"/>
      <w:r w:rsidRPr="007F2BA2">
        <w:rPr>
          <w:color w:val="000000"/>
          <w:lang w:val="en-GB"/>
        </w:rPr>
        <w:t>, C. É. (2019). Construct validity of the professional quality of life (</w:t>
      </w:r>
      <w:proofErr w:type="spellStart"/>
      <w:r w:rsidRPr="007F2BA2">
        <w:rPr>
          <w:color w:val="000000"/>
          <w:lang w:val="en-GB"/>
        </w:rPr>
        <w:t>ProQoL</w:t>
      </w:r>
      <w:proofErr w:type="spellEnd"/>
      <w:r w:rsidRPr="007F2BA2">
        <w:rPr>
          <w:color w:val="000000"/>
          <w:lang w:val="en-GB"/>
        </w:rPr>
        <w:t xml:space="preserve">) scale in a sample of child protection workers. </w:t>
      </w:r>
      <w:r w:rsidRPr="007F2BA2">
        <w:rPr>
          <w:i/>
          <w:color w:val="000000"/>
          <w:lang w:val="en-GB"/>
        </w:rPr>
        <w:t>Journal of traumatic stress</w:t>
      </w:r>
      <w:r w:rsidRPr="007F2BA2">
        <w:rPr>
          <w:color w:val="000000"/>
          <w:lang w:val="en-GB"/>
        </w:rPr>
        <w:t xml:space="preserve">, </w:t>
      </w:r>
      <w:r w:rsidRPr="007F2BA2">
        <w:rPr>
          <w:i/>
          <w:color w:val="000000"/>
          <w:lang w:val="en-GB"/>
        </w:rPr>
        <w:t>32</w:t>
      </w:r>
      <w:r w:rsidRPr="007F2BA2">
        <w:rPr>
          <w:color w:val="000000"/>
          <w:lang w:val="en-GB"/>
        </w:rPr>
        <w:t>(4), 566–576.</w:t>
      </w:r>
    </w:p>
    <w:p w:rsidR="00000000" w:rsidRDefault="007F2BA2">
      <w:pPr>
        <w:pStyle w:val="Normalny1"/>
        <w:ind w:left="720" w:hanging="720"/>
        <w:jc w:val="both"/>
        <w:rPr>
          <w:color w:val="000000"/>
          <w:lang w:val="en-GB"/>
        </w:rPr>
      </w:pPr>
      <w:proofErr w:type="spellStart"/>
      <w:r w:rsidRPr="007F2BA2">
        <w:rPr>
          <w:color w:val="000000"/>
          <w:lang w:val="en-GB"/>
        </w:rPr>
        <w:t>Gurowiec</w:t>
      </w:r>
      <w:proofErr w:type="spellEnd"/>
      <w:r w:rsidRPr="007F2BA2">
        <w:rPr>
          <w:color w:val="000000"/>
          <w:lang w:val="en-GB"/>
        </w:rPr>
        <w:t xml:space="preserve">, P. J., </w:t>
      </w:r>
      <w:proofErr w:type="spellStart"/>
      <w:r w:rsidRPr="007F2BA2">
        <w:rPr>
          <w:color w:val="000000"/>
          <w:lang w:val="en-GB"/>
        </w:rPr>
        <w:t>Ogińska-Bulik</w:t>
      </w:r>
      <w:proofErr w:type="spellEnd"/>
      <w:r w:rsidRPr="007F2BA2">
        <w:rPr>
          <w:color w:val="000000"/>
          <w:lang w:val="en-GB"/>
        </w:rPr>
        <w:t xml:space="preserve">, N., </w:t>
      </w:r>
      <w:proofErr w:type="spellStart"/>
      <w:r w:rsidRPr="007F2BA2">
        <w:rPr>
          <w:color w:val="000000"/>
          <w:lang w:val="en-GB"/>
        </w:rPr>
        <w:t>Michalska</w:t>
      </w:r>
      <w:proofErr w:type="spellEnd"/>
      <w:r w:rsidRPr="007F2BA2">
        <w:rPr>
          <w:color w:val="000000"/>
          <w:lang w:val="en-GB"/>
        </w:rPr>
        <w:t xml:space="preserve">, P., </w:t>
      </w:r>
      <w:proofErr w:type="spellStart"/>
      <w:r w:rsidRPr="007F2BA2">
        <w:rPr>
          <w:color w:val="000000"/>
          <w:lang w:val="en-GB"/>
        </w:rPr>
        <w:t>Kędra</w:t>
      </w:r>
      <w:proofErr w:type="spellEnd"/>
      <w:r w:rsidRPr="007F2BA2">
        <w:rPr>
          <w:color w:val="000000"/>
          <w:lang w:val="en-GB"/>
        </w:rPr>
        <w:t xml:space="preserve">, E. (2022). The relationship between social support and secondary posttraumatic growth among health care providers working with trauma victims–the mediating role of cognitive processing. </w:t>
      </w:r>
      <w:r w:rsidRPr="007F2BA2">
        <w:rPr>
          <w:i/>
          <w:color w:val="000000"/>
          <w:lang w:val="en-GB"/>
        </w:rPr>
        <w:t>International journal of environmental research and public health</w:t>
      </w:r>
      <w:r w:rsidRPr="007F2BA2">
        <w:rPr>
          <w:color w:val="000000"/>
          <w:lang w:val="en-GB"/>
        </w:rPr>
        <w:t xml:space="preserve">, </w:t>
      </w:r>
      <w:r w:rsidRPr="007F2BA2">
        <w:rPr>
          <w:i/>
          <w:color w:val="000000"/>
          <w:lang w:val="en-GB"/>
        </w:rPr>
        <w:t>19</w:t>
      </w:r>
      <w:r w:rsidRPr="007F2BA2">
        <w:rPr>
          <w:color w:val="000000"/>
          <w:lang w:val="en-GB"/>
        </w:rPr>
        <w:t>(9), 4985.</w:t>
      </w:r>
    </w:p>
    <w:p w:rsidR="00000000" w:rsidRDefault="007F2BA2">
      <w:pPr>
        <w:pStyle w:val="Normalny1"/>
        <w:ind w:left="720" w:hanging="720"/>
        <w:jc w:val="both"/>
        <w:rPr>
          <w:lang w:val="en-GB"/>
        </w:rPr>
      </w:pPr>
      <w:proofErr w:type="spellStart"/>
      <w:r w:rsidRPr="007F2BA2">
        <w:rPr>
          <w:lang w:val="en-GB"/>
        </w:rPr>
        <w:t>Hajiesmaello</w:t>
      </w:r>
      <w:proofErr w:type="spellEnd"/>
      <w:r w:rsidRPr="007F2BA2">
        <w:rPr>
          <w:lang w:val="en-GB"/>
        </w:rPr>
        <w:t xml:space="preserve">, </w:t>
      </w:r>
      <w:r w:rsidR="000E0363" w:rsidRPr="000E0363">
        <w:rPr>
          <w:lang w:val="en-GB"/>
        </w:rPr>
        <w:t>M.,</w:t>
      </w:r>
      <w:r w:rsidRPr="007F2BA2">
        <w:rPr>
          <w:lang w:val="en-GB"/>
        </w:rPr>
        <w:t xml:space="preserve"> </w:t>
      </w:r>
      <w:proofErr w:type="spellStart"/>
      <w:r w:rsidRPr="007F2BA2">
        <w:rPr>
          <w:lang w:val="en-GB"/>
        </w:rPr>
        <w:t>Hajian</w:t>
      </w:r>
      <w:proofErr w:type="spellEnd"/>
      <w:r w:rsidRPr="007F2BA2">
        <w:rPr>
          <w:lang w:val="en-GB"/>
        </w:rPr>
        <w:t xml:space="preserve">, </w:t>
      </w:r>
      <w:r w:rsidR="000E0363" w:rsidRPr="000E0363">
        <w:rPr>
          <w:lang w:val="en-GB"/>
        </w:rPr>
        <w:t>S.,</w:t>
      </w:r>
      <w:r w:rsidRPr="007F2BA2">
        <w:rPr>
          <w:lang w:val="en-GB"/>
        </w:rPr>
        <w:t xml:space="preserve"> </w:t>
      </w:r>
      <w:proofErr w:type="spellStart"/>
      <w:r w:rsidRPr="007F2BA2">
        <w:rPr>
          <w:lang w:val="en-GB"/>
        </w:rPr>
        <w:t>Riazi</w:t>
      </w:r>
      <w:proofErr w:type="spellEnd"/>
      <w:r w:rsidRPr="007F2BA2">
        <w:rPr>
          <w:lang w:val="en-GB"/>
        </w:rPr>
        <w:t xml:space="preserve">, </w:t>
      </w:r>
      <w:r w:rsidR="000E0363" w:rsidRPr="000E0363">
        <w:rPr>
          <w:lang w:val="en-GB"/>
        </w:rPr>
        <w:t>H.,</w:t>
      </w:r>
      <w:r w:rsidRPr="007F2BA2">
        <w:rPr>
          <w:lang w:val="en-GB"/>
        </w:rPr>
        <w:t xml:space="preserve"> </w:t>
      </w:r>
      <w:proofErr w:type="spellStart"/>
      <w:r w:rsidRPr="007F2BA2">
        <w:rPr>
          <w:lang w:val="en-GB"/>
        </w:rPr>
        <w:t>Alavi</w:t>
      </w:r>
      <w:proofErr w:type="spellEnd"/>
      <w:r w:rsidRPr="007F2BA2">
        <w:rPr>
          <w:lang w:val="en-GB"/>
        </w:rPr>
        <w:t xml:space="preserve"> </w:t>
      </w:r>
      <w:proofErr w:type="spellStart"/>
      <w:r w:rsidRPr="007F2BA2">
        <w:rPr>
          <w:lang w:val="en-GB"/>
        </w:rPr>
        <w:t>Majd</w:t>
      </w:r>
      <w:proofErr w:type="spellEnd"/>
      <w:r w:rsidRPr="007F2BA2">
        <w:rPr>
          <w:lang w:val="en-GB"/>
        </w:rPr>
        <w:t xml:space="preserve">, H. and </w:t>
      </w:r>
      <w:proofErr w:type="spellStart"/>
      <w:r w:rsidRPr="007F2BA2">
        <w:rPr>
          <w:lang w:val="en-GB"/>
        </w:rPr>
        <w:t>Yavarian</w:t>
      </w:r>
      <w:proofErr w:type="spellEnd"/>
      <w:r w:rsidRPr="007F2BA2">
        <w:rPr>
          <w:lang w:val="en-GB"/>
        </w:rPr>
        <w:t xml:space="preserve">, R. (2025). Determinants of secondary traumatic stress in midwives: The role of workplace-related factors. </w:t>
      </w:r>
      <w:r w:rsidRPr="007F2BA2">
        <w:rPr>
          <w:i/>
          <w:lang w:val="en-GB"/>
        </w:rPr>
        <w:t>Nursing and Midwifery Studies</w:t>
      </w:r>
      <w:r w:rsidRPr="007F2BA2">
        <w:rPr>
          <w:lang w:val="en-GB"/>
        </w:rPr>
        <w:t xml:space="preserve">, </w:t>
      </w:r>
      <w:r w:rsidRPr="007F2BA2">
        <w:rPr>
          <w:i/>
          <w:lang w:val="en-GB"/>
        </w:rPr>
        <w:t>14</w:t>
      </w:r>
      <w:r w:rsidRPr="007F2BA2">
        <w:rPr>
          <w:lang w:val="en-GB"/>
        </w:rPr>
        <w:t xml:space="preserve">(2), 125–135. </w:t>
      </w:r>
    </w:p>
    <w:p w:rsidR="00000000" w:rsidRDefault="007F2BA2">
      <w:pPr>
        <w:pStyle w:val="Normalny1"/>
        <w:ind w:left="720" w:hanging="720"/>
        <w:jc w:val="both"/>
        <w:rPr>
          <w:lang w:val="en-GB"/>
        </w:rPr>
      </w:pPr>
      <w:r w:rsidRPr="007F2BA2">
        <w:rPr>
          <w:color w:val="000000"/>
          <w:lang w:val="en-GB"/>
        </w:rPr>
        <w:t>https://</w:t>
      </w:r>
      <w:r w:rsidRPr="007F2BA2">
        <w:rPr>
          <w:lang w:val="en-GB"/>
        </w:rPr>
        <w:t>doi: 10.48307/nms.2025.488317.1511</w:t>
      </w:r>
    </w:p>
    <w:p w:rsidR="001B38F9" w:rsidRDefault="007F2BA2" w:rsidP="005279AE">
      <w:pPr>
        <w:pStyle w:val="Normalny1"/>
        <w:ind w:left="720" w:hanging="720"/>
        <w:jc w:val="both"/>
        <w:rPr>
          <w:lang w:val="en-GB"/>
        </w:rPr>
      </w:pPr>
      <w:r w:rsidRPr="007F2BA2">
        <w:rPr>
          <w:lang w:val="en-GB"/>
        </w:rPr>
        <w:t xml:space="preserve">Hansel, T. C., Saltzman, L. Y. (2024). Secondary traumatic stress and burnout: The role of mental health, work experience, loneliness and other trauma in compassion fatigue in the healthcare workforces. </w:t>
      </w:r>
      <w:proofErr w:type="spellStart"/>
      <w:r w:rsidRPr="007F2BA2">
        <w:rPr>
          <w:i/>
          <w:lang w:val="en-GB"/>
        </w:rPr>
        <w:t>Traumatology</w:t>
      </w:r>
      <w:proofErr w:type="spellEnd"/>
      <w:r w:rsidRPr="007F2BA2">
        <w:rPr>
          <w:i/>
          <w:lang w:val="en-GB"/>
        </w:rPr>
        <w:t>, 30</w:t>
      </w:r>
      <w:r w:rsidRPr="007F2BA2">
        <w:rPr>
          <w:lang w:val="en-GB"/>
        </w:rPr>
        <w:t xml:space="preserve">(4), 615–618. </w:t>
      </w:r>
    </w:p>
    <w:p w:rsidR="00000000" w:rsidRDefault="007F2BA2">
      <w:pPr>
        <w:pStyle w:val="Normalny1"/>
        <w:ind w:left="720"/>
        <w:jc w:val="both"/>
        <w:rPr>
          <w:lang w:val="en-GB"/>
        </w:rPr>
      </w:pPr>
      <w:r w:rsidRPr="007F2BA2">
        <w:rPr>
          <w:lang w:val="en-GB"/>
        </w:rPr>
        <w:t>https://doi.org/10.1037/trm0000478</w:t>
      </w:r>
    </w:p>
    <w:p w:rsidR="00000000" w:rsidRDefault="007F2BA2">
      <w:pPr>
        <w:pStyle w:val="Normalny1"/>
        <w:ind w:left="720" w:hanging="720"/>
        <w:jc w:val="both"/>
        <w:rPr>
          <w:lang w:val="en-GB"/>
        </w:rPr>
      </w:pPr>
      <w:r w:rsidRPr="007F2BA2">
        <w:rPr>
          <w:lang w:val="en-GB"/>
        </w:rPr>
        <w:t xml:space="preserve">Henderson, A., Jewell, T., Huang, X., Simpson, A. (2025). Personal trauma history and secondary traumatic stress in mental health professionals: A systematic review. </w:t>
      </w:r>
      <w:r w:rsidRPr="007F2BA2">
        <w:rPr>
          <w:i/>
          <w:lang w:val="en-GB"/>
        </w:rPr>
        <w:t>Journal of psychiatric and mental health nursing</w:t>
      </w:r>
      <w:r w:rsidRPr="007F2BA2">
        <w:rPr>
          <w:lang w:val="en-GB"/>
        </w:rPr>
        <w:t xml:space="preserve">, </w:t>
      </w:r>
      <w:r w:rsidRPr="007F2BA2">
        <w:rPr>
          <w:i/>
          <w:lang w:val="en-GB"/>
        </w:rPr>
        <w:t>32</w:t>
      </w:r>
      <w:r w:rsidRPr="007F2BA2">
        <w:rPr>
          <w:lang w:val="en-GB"/>
        </w:rPr>
        <w:t>(1), 13–30.</w:t>
      </w:r>
    </w:p>
    <w:p w:rsidR="00000000" w:rsidRDefault="007F2BA2">
      <w:pPr>
        <w:pStyle w:val="Normalny1"/>
        <w:ind w:left="720" w:hanging="720"/>
        <w:jc w:val="both"/>
        <w:rPr>
          <w:lang w:val="en-GB"/>
        </w:rPr>
      </w:pPr>
      <w:proofErr w:type="spellStart"/>
      <w:r w:rsidRPr="007F2BA2">
        <w:rPr>
          <w:lang w:val="en-GB"/>
        </w:rPr>
        <w:t>Hernández</w:t>
      </w:r>
      <w:proofErr w:type="spellEnd"/>
      <w:r w:rsidRPr="007F2BA2">
        <w:rPr>
          <w:lang w:val="en-GB"/>
        </w:rPr>
        <w:t xml:space="preserve">, P., </w:t>
      </w:r>
      <w:proofErr w:type="spellStart"/>
      <w:r w:rsidRPr="007F2BA2">
        <w:rPr>
          <w:lang w:val="en-GB"/>
        </w:rPr>
        <w:t>Engstrom</w:t>
      </w:r>
      <w:proofErr w:type="spellEnd"/>
      <w:r w:rsidRPr="007F2BA2">
        <w:rPr>
          <w:lang w:val="en-GB"/>
        </w:rPr>
        <w:t xml:space="preserve">, D., </w:t>
      </w:r>
      <w:proofErr w:type="spellStart"/>
      <w:r w:rsidRPr="007F2BA2">
        <w:rPr>
          <w:lang w:val="en-GB"/>
        </w:rPr>
        <w:t>Gangsei</w:t>
      </w:r>
      <w:proofErr w:type="spellEnd"/>
      <w:r w:rsidRPr="007F2BA2">
        <w:rPr>
          <w:lang w:val="en-GB"/>
        </w:rPr>
        <w:t>, D. (2010). Vicarious resilience: A new concept in work with those who survive trauma. </w:t>
      </w:r>
      <w:r w:rsidRPr="007F2BA2">
        <w:rPr>
          <w:i/>
          <w:lang w:val="en-GB"/>
        </w:rPr>
        <w:t>Family Process, 49</w:t>
      </w:r>
      <w:r w:rsidRPr="007F2BA2">
        <w:rPr>
          <w:lang w:val="en-GB"/>
        </w:rPr>
        <w:t>(2), 229–246. </w:t>
      </w:r>
    </w:p>
    <w:p w:rsidR="00000000" w:rsidRDefault="007F2BA2">
      <w:pPr>
        <w:pStyle w:val="Normalny1"/>
        <w:ind w:left="720" w:hanging="720"/>
        <w:jc w:val="both"/>
        <w:rPr>
          <w:lang w:val="en-GB"/>
        </w:rPr>
      </w:pPr>
      <w:r w:rsidRPr="007F2BA2">
        <w:rPr>
          <w:lang w:val="en-GB"/>
        </w:rPr>
        <w:t>https://doi.org/10.1111/j.1545-5300.2010.01318.x</w:t>
      </w:r>
    </w:p>
    <w:p w:rsidR="00000000" w:rsidRDefault="007F2BA2">
      <w:pPr>
        <w:pStyle w:val="Normalny1"/>
        <w:ind w:left="720" w:hanging="720"/>
        <w:jc w:val="both"/>
        <w:rPr>
          <w:lang w:val="en-GB"/>
        </w:rPr>
      </w:pPr>
      <w:r w:rsidRPr="007F2BA2">
        <w:rPr>
          <w:lang w:val="en-GB"/>
        </w:rPr>
        <w:t xml:space="preserve">Heritage, B., Rees, C. S., </w:t>
      </w:r>
      <w:proofErr w:type="spellStart"/>
      <w:r w:rsidRPr="007F2BA2">
        <w:rPr>
          <w:lang w:val="en-GB"/>
        </w:rPr>
        <w:t>Hegney</w:t>
      </w:r>
      <w:proofErr w:type="spellEnd"/>
      <w:r w:rsidRPr="007F2BA2">
        <w:rPr>
          <w:lang w:val="en-GB"/>
        </w:rPr>
        <w:t xml:space="preserve">, D. G. (2018). The ProQOL-5: Factor structure and psychological health and wellbeing in Australian frontline workers. </w:t>
      </w:r>
      <w:r w:rsidRPr="007F2BA2">
        <w:rPr>
          <w:i/>
          <w:lang w:val="en-GB"/>
        </w:rPr>
        <w:t>Psychological Assessment, 30</w:t>
      </w:r>
      <w:r w:rsidRPr="007F2BA2">
        <w:rPr>
          <w:lang w:val="en-GB"/>
        </w:rPr>
        <w:t>(3), 318–324.</w:t>
      </w:r>
    </w:p>
    <w:p w:rsidR="00000000" w:rsidRDefault="007F2BA2">
      <w:pPr>
        <w:pStyle w:val="Normalny1"/>
        <w:ind w:left="720" w:hanging="720"/>
        <w:jc w:val="both"/>
        <w:rPr>
          <w:lang w:val="en-GB"/>
        </w:rPr>
      </w:pPr>
      <w:r w:rsidRPr="007F2BA2">
        <w:rPr>
          <w:lang w:val="en-GB"/>
        </w:rPr>
        <w:t xml:space="preserve">Jacobsen, L. N. (2013). </w:t>
      </w:r>
      <w:r w:rsidRPr="007F2BA2">
        <w:rPr>
          <w:i/>
          <w:lang w:val="en-GB"/>
        </w:rPr>
        <w:t>An Exploration of Sexual Offender Therapists' Experiences: Examining the Factors of Vicarious Trauma and the Implications for Practice</w:t>
      </w:r>
      <w:r w:rsidRPr="007F2BA2">
        <w:rPr>
          <w:lang w:val="en-GB"/>
        </w:rPr>
        <w:t>. Alliant International University (</w:t>
      </w:r>
      <w:proofErr w:type="spellStart"/>
      <w:r w:rsidRPr="007F2BA2">
        <w:rPr>
          <w:lang w:val="en-GB"/>
        </w:rPr>
        <w:t>niepublikowana</w:t>
      </w:r>
      <w:proofErr w:type="spellEnd"/>
      <w:r w:rsidRPr="007F2BA2">
        <w:rPr>
          <w:lang w:val="en-GB"/>
        </w:rPr>
        <w:t xml:space="preserve"> </w:t>
      </w:r>
      <w:proofErr w:type="spellStart"/>
      <w:r w:rsidRPr="007F2BA2">
        <w:rPr>
          <w:lang w:val="en-GB"/>
        </w:rPr>
        <w:t>rozprawa</w:t>
      </w:r>
      <w:proofErr w:type="spellEnd"/>
      <w:r w:rsidRPr="007F2BA2">
        <w:rPr>
          <w:lang w:val="en-GB"/>
        </w:rPr>
        <w:t xml:space="preserve"> </w:t>
      </w:r>
      <w:proofErr w:type="spellStart"/>
      <w:r w:rsidRPr="007F2BA2">
        <w:rPr>
          <w:lang w:val="en-GB"/>
        </w:rPr>
        <w:t>doktorska</w:t>
      </w:r>
      <w:proofErr w:type="spellEnd"/>
      <w:r w:rsidRPr="007F2BA2">
        <w:rPr>
          <w:lang w:val="en-GB"/>
        </w:rPr>
        <w:t>).</w:t>
      </w:r>
    </w:p>
    <w:p w:rsidR="00000000" w:rsidRDefault="007F2BA2">
      <w:pPr>
        <w:pStyle w:val="Normalny1"/>
        <w:ind w:left="720" w:hanging="720"/>
        <w:jc w:val="both"/>
        <w:rPr>
          <w:color w:val="000000"/>
          <w:lang w:val="en-GB"/>
        </w:rPr>
      </w:pPr>
      <w:r w:rsidRPr="007F2BA2">
        <w:rPr>
          <w:color w:val="000000"/>
          <w:lang w:val="en-GB"/>
        </w:rPr>
        <w:t xml:space="preserve">Jenkins, S. R., Baird, S. (2002). Secondary traumatic stress and vicarious trauma: </w:t>
      </w:r>
      <w:r w:rsidR="00A4209D">
        <w:rPr>
          <w:color w:val="000000"/>
          <w:lang w:val="en-GB"/>
        </w:rPr>
        <w:br/>
      </w:r>
      <w:r w:rsidRPr="007F2BA2">
        <w:rPr>
          <w:color w:val="000000"/>
          <w:lang w:val="en-GB"/>
        </w:rPr>
        <w:t xml:space="preserve">A </w:t>
      </w:r>
      <w:proofErr w:type="spellStart"/>
      <w:r w:rsidRPr="007F2BA2">
        <w:rPr>
          <w:color w:val="000000"/>
          <w:lang w:val="en-GB"/>
        </w:rPr>
        <w:t>validational</w:t>
      </w:r>
      <w:proofErr w:type="spellEnd"/>
      <w:r w:rsidRPr="007F2BA2">
        <w:rPr>
          <w:color w:val="000000"/>
          <w:lang w:val="en-GB"/>
        </w:rPr>
        <w:t xml:space="preserve"> study. </w:t>
      </w:r>
      <w:r w:rsidRPr="007F2BA2">
        <w:rPr>
          <w:i/>
          <w:color w:val="000000"/>
          <w:lang w:val="en-GB"/>
        </w:rPr>
        <w:t>Journal of Traumatic Stress, 15</w:t>
      </w:r>
      <w:r w:rsidRPr="007F2BA2">
        <w:rPr>
          <w:color w:val="000000"/>
          <w:lang w:val="en-GB"/>
        </w:rPr>
        <w:t>(5), 423–432.</w:t>
      </w:r>
    </w:p>
    <w:p w:rsidR="00000000" w:rsidRDefault="007F2BA2">
      <w:pPr>
        <w:pStyle w:val="Normalny1"/>
        <w:ind w:left="720" w:hanging="720"/>
        <w:jc w:val="both"/>
        <w:rPr>
          <w:lang w:val="en-GB"/>
        </w:rPr>
      </w:pPr>
      <w:proofErr w:type="spellStart"/>
      <w:r w:rsidRPr="007F2BA2">
        <w:rPr>
          <w:lang w:val="en-GB"/>
        </w:rPr>
        <w:lastRenderedPageBreak/>
        <w:t>Jobe</w:t>
      </w:r>
      <w:proofErr w:type="spellEnd"/>
      <w:r w:rsidRPr="007F2BA2">
        <w:rPr>
          <w:lang w:val="en-GB"/>
        </w:rPr>
        <w:t xml:space="preserve">, J. A., Gillespie, G. L., </w:t>
      </w:r>
      <w:proofErr w:type="spellStart"/>
      <w:r w:rsidRPr="007F2BA2">
        <w:rPr>
          <w:lang w:val="en-GB"/>
        </w:rPr>
        <w:t>Schwytzer</w:t>
      </w:r>
      <w:proofErr w:type="spellEnd"/>
      <w:r w:rsidRPr="007F2BA2">
        <w:rPr>
          <w:lang w:val="en-GB"/>
        </w:rPr>
        <w:t xml:space="preserve">, D. (2021). A national survey of secondary traumatic stress and work productivity of emergency nurses following trauma patient care. </w:t>
      </w:r>
      <w:r w:rsidRPr="007F2BA2">
        <w:rPr>
          <w:i/>
          <w:lang w:val="en-GB"/>
        </w:rPr>
        <w:t>Journal of Trauma Nursing| JTN</w:t>
      </w:r>
      <w:r w:rsidRPr="007F2BA2">
        <w:rPr>
          <w:lang w:val="en-GB"/>
        </w:rPr>
        <w:t xml:space="preserve">, </w:t>
      </w:r>
      <w:r w:rsidRPr="007F2BA2">
        <w:rPr>
          <w:i/>
          <w:lang w:val="en-GB"/>
        </w:rPr>
        <w:t>28</w:t>
      </w:r>
      <w:r w:rsidRPr="007F2BA2">
        <w:rPr>
          <w:lang w:val="en-GB"/>
        </w:rPr>
        <w:t>(4), 243–249.</w:t>
      </w:r>
    </w:p>
    <w:p w:rsidR="00000000" w:rsidRDefault="007F2BA2">
      <w:pPr>
        <w:pStyle w:val="Normalny1"/>
        <w:ind w:left="720" w:hanging="720"/>
        <w:jc w:val="both"/>
        <w:rPr>
          <w:lang w:val="en-GB"/>
        </w:rPr>
      </w:pPr>
      <w:r w:rsidRPr="007F2BA2">
        <w:rPr>
          <w:lang w:val="en-GB"/>
        </w:rPr>
        <w:t xml:space="preserve">Joseph, S., Linley, P. A. (2005). Positive adjustment to threatening events: An </w:t>
      </w:r>
      <w:proofErr w:type="spellStart"/>
      <w:r w:rsidRPr="007F2BA2">
        <w:rPr>
          <w:lang w:val="en-GB"/>
        </w:rPr>
        <w:t>organismic</w:t>
      </w:r>
      <w:proofErr w:type="spellEnd"/>
      <w:r w:rsidRPr="007F2BA2">
        <w:rPr>
          <w:lang w:val="en-GB"/>
        </w:rPr>
        <w:t xml:space="preserve"> valuing theory of growth through adversity. </w:t>
      </w:r>
      <w:r w:rsidRPr="007F2BA2">
        <w:rPr>
          <w:i/>
          <w:lang w:val="en-GB"/>
        </w:rPr>
        <w:t>Review of General Psychology, 9</w:t>
      </w:r>
      <w:r w:rsidRPr="007F2BA2">
        <w:rPr>
          <w:lang w:val="en-GB"/>
        </w:rPr>
        <w:t>(3), 262–280. https://doi.org/10.1037/1089-2680.9.3.262</w:t>
      </w:r>
    </w:p>
    <w:p w:rsidR="00000000" w:rsidRDefault="007F2BA2">
      <w:pPr>
        <w:pStyle w:val="Normalny1"/>
        <w:ind w:left="720" w:hanging="720"/>
        <w:jc w:val="both"/>
        <w:rPr>
          <w:lang w:val="en-GB"/>
        </w:rPr>
      </w:pPr>
      <w:proofErr w:type="spellStart"/>
      <w:r w:rsidRPr="007F2BA2">
        <w:rPr>
          <w:lang w:val="en-GB"/>
        </w:rPr>
        <w:t>Kalaitzaki</w:t>
      </w:r>
      <w:proofErr w:type="spellEnd"/>
      <w:r w:rsidRPr="007F2BA2">
        <w:rPr>
          <w:lang w:val="en-GB"/>
        </w:rPr>
        <w:t xml:space="preserve">, A., </w:t>
      </w:r>
      <w:proofErr w:type="spellStart"/>
      <w:r w:rsidRPr="007F2BA2">
        <w:rPr>
          <w:lang w:val="en-GB"/>
        </w:rPr>
        <w:t>Tamiolaki</w:t>
      </w:r>
      <w:proofErr w:type="spellEnd"/>
      <w:r w:rsidRPr="007F2BA2">
        <w:rPr>
          <w:lang w:val="en-GB"/>
        </w:rPr>
        <w:t xml:space="preserve">, A., </w:t>
      </w:r>
      <w:proofErr w:type="spellStart"/>
      <w:r w:rsidRPr="007F2BA2">
        <w:rPr>
          <w:lang w:val="en-GB"/>
        </w:rPr>
        <w:t>Tsouvelas</w:t>
      </w:r>
      <w:proofErr w:type="spellEnd"/>
      <w:r w:rsidRPr="007F2BA2">
        <w:rPr>
          <w:lang w:val="en-GB"/>
        </w:rPr>
        <w:t xml:space="preserve">, G. (2022). From secondary traumatic stress to vicarious posttraumatic growth amid COVID-19 lockdown in Greece: The role of health care workers’ coping strategies. </w:t>
      </w:r>
      <w:r w:rsidRPr="007F2BA2">
        <w:rPr>
          <w:i/>
          <w:lang w:val="en-GB"/>
        </w:rPr>
        <w:t>Psychological Trauma: Theory, Research, Practice, and Policy</w:t>
      </w:r>
      <w:r w:rsidRPr="007F2BA2">
        <w:rPr>
          <w:lang w:val="en-GB"/>
        </w:rPr>
        <w:t xml:space="preserve">, </w:t>
      </w:r>
      <w:r w:rsidRPr="007F2BA2">
        <w:rPr>
          <w:i/>
          <w:lang w:val="en-GB"/>
        </w:rPr>
        <w:t>14</w:t>
      </w:r>
      <w:r w:rsidRPr="007F2BA2">
        <w:rPr>
          <w:lang w:val="en-GB"/>
        </w:rPr>
        <w:t>(2), 273.</w:t>
      </w:r>
    </w:p>
    <w:p w:rsidR="00000000" w:rsidRDefault="007F2BA2">
      <w:pPr>
        <w:pStyle w:val="Normalny1"/>
        <w:ind w:left="720" w:hanging="720"/>
        <w:jc w:val="both"/>
        <w:rPr>
          <w:lang w:val="en-GB"/>
        </w:rPr>
      </w:pPr>
      <w:r w:rsidRPr="007F2BA2">
        <w:rPr>
          <w:lang w:val="en-GB"/>
        </w:rPr>
        <w:t xml:space="preserve">Killian, K., Hernandez-Wolfe, P., </w:t>
      </w:r>
      <w:proofErr w:type="spellStart"/>
      <w:r w:rsidRPr="007F2BA2">
        <w:rPr>
          <w:lang w:val="en-GB"/>
        </w:rPr>
        <w:t>Engstrom</w:t>
      </w:r>
      <w:proofErr w:type="spellEnd"/>
      <w:r w:rsidRPr="007F2BA2">
        <w:rPr>
          <w:lang w:val="en-GB"/>
        </w:rPr>
        <w:t xml:space="preserve">, D., </w:t>
      </w:r>
      <w:proofErr w:type="spellStart"/>
      <w:r w:rsidRPr="007F2BA2">
        <w:rPr>
          <w:lang w:val="en-GB"/>
        </w:rPr>
        <w:t>Gangsei</w:t>
      </w:r>
      <w:proofErr w:type="spellEnd"/>
      <w:r w:rsidRPr="007F2BA2">
        <w:rPr>
          <w:lang w:val="en-GB"/>
        </w:rPr>
        <w:t xml:space="preserve">, D. (2017). Development of the Vicarious Resilience Scale (VRS): A measure of positive effects of working with trauma survivors. </w:t>
      </w:r>
      <w:r w:rsidRPr="007F2BA2">
        <w:rPr>
          <w:i/>
          <w:lang w:val="en-GB"/>
        </w:rPr>
        <w:t>Psychological trauma: theory, research, practice, and policy</w:t>
      </w:r>
      <w:r w:rsidRPr="007F2BA2">
        <w:rPr>
          <w:lang w:val="en-GB"/>
        </w:rPr>
        <w:t xml:space="preserve">, </w:t>
      </w:r>
      <w:r w:rsidRPr="007F2BA2">
        <w:rPr>
          <w:i/>
          <w:lang w:val="en-GB"/>
        </w:rPr>
        <w:t>9</w:t>
      </w:r>
      <w:r w:rsidRPr="007F2BA2">
        <w:rPr>
          <w:lang w:val="en-GB"/>
        </w:rPr>
        <w:t>(1), 23.</w:t>
      </w:r>
    </w:p>
    <w:p w:rsidR="00000000" w:rsidRDefault="007F2BA2">
      <w:pPr>
        <w:pStyle w:val="Normalny1"/>
        <w:ind w:left="720" w:hanging="720"/>
        <w:jc w:val="both"/>
        <w:rPr>
          <w:lang w:val="en-GB"/>
        </w:rPr>
      </w:pPr>
      <w:proofErr w:type="spellStart"/>
      <w:r w:rsidRPr="007F2BA2">
        <w:rPr>
          <w:lang w:val="en-GB"/>
        </w:rPr>
        <w:t>Küçüknane</w:t>
      </w:r>
      <w:proofErr w:type="spellEnd"/>
      <w:r w:rsidRPr="007F2BA2">
        <w:rPr>
          <w:lang w:val="en-GB"/>
        </w:rPr>
        <w:t xml:space="preserve">, A., </w:t>
      </w:r>
      <w:proofErr w:type="spellStart"/>
      <w:r w:rsidRPr="007F2BA2">
        <w:rPr>
          <w:lang w:val="en-GB"/>
        </w:rPr>
        <w:t>Dikeç</w:t>
      </w:r>
      <w:proofErr w:type="spellEnd"/>
      <w:r w:rsidRPr="007F2BA2">
        <w:rPr>
          <w:lang w:val="en-GB"/>
        </w:rPr>
        <w:t xml:space="preserve">, G., </w:t>
      </w:r>
      <w:proofErr w:type="spellStart"/>
      <w:r w:rsidRPr="007F2BA2">
        <w:rPr>
          <w:lang w:val="en-GB"/>
        </w:rPr>
        <w:t>Uygun</w:t>
      </w:r>
      <w:proofErr w:type="spellEnd"/>
      <w:r w:rsidRPr="007F2BA2">
        <w:rPr>
          <w:lang w:val="en-GB"/>
        </w:rPr>
        <w:t xml:space="preserve">, E. (2025). Experiences of Secondary Traumatic Stress and Coping Among Refugee Professionals: A Qualitative Study. </w:t>
      </w:r>
      <w:r w:rsidRPr="007F2BA2">
        <w:rPr>
          <w:i/>
          <w:lang w:val="en-GB"/>
        </w:rPr>
        <w:t>Journal of Cognitive Behavioural Psychotherapy, 14</w:t>
      </w:r>
      <w:r w:rsidRPr="007F2BA2">
        <w:rPr>
          <w:lang w:val="en-GB"/>
        </w:rPr>
        <w:t>(2), 119–130.</w:t>
      </w:r>
    </w:p>
    <w:p w:rsidR="00000000" w:rsidRDefault="007F2BA2">
      <w:pPr>
        <w:pStyle w:val="Normalny1"/>
        <w:ind w:left="720" w:hanging="720"/>
        <w:jc w:val="both"/>
      </w:pPr>
      <w:proofErr w:type="spellStart"/>
      <w:r w:rsidRPr="007F2BA2">
        <w:rPr>
          <w:lang w:val="en-GB"/>
        </w:rPr>
        <w:t>Kristensen</w:t>
      </w:r>
      <w:proofErr w:type="spellEnd"/>
      <w:r w:rsidRPr="007F2BA2">
        <w:rPr>
          <w:lang w:val="en-GB"/>
        </w:rPr>
        <w:t xml:space="preserve">, T. S., </w:t>
      </w:r>
      <w:proofErr w:type="spellStart"/>
      <w:r w:rsidRPr="007F2BA2">
        <w:rPr>
          <w:lang w:val="en-GB"/>
        </w:rPr>
        <w:t>Borritz</w:t>
      </w:r>
      <w:proofErr w:type="spellEnd"/>
      <w:r w:rsidRPr="007F2BA2">
        <w:rPr>
          <w:lang w:val="en-GB"/>
        </w:rPr>
        <w:t xml:space="preserve">, M., </w:t>
      </w:r>
      <w:proofErr w:type="spellStart"/>
      <w:r w:rsidRPr="007F2BA2">
        <w:rPr>
          <w:lang w:val="en-GB"/>
        </w:rPr>
        <w:t>Villadsen</w:t>
      </w:r>
      <w:proofErr w:type="spellEnd"/>
      <w:r w:rsidRPr="007F2BA2">
        <w:rPr>
          <w:lang w:val="en-GB"/>
        </w:rPr>
        <w:t xml:space="preserve">, E., Christensen, K. B. (2005). The Copenhagen Burnout Inventory: A new tool for the assessment of burnout. </w:t>
      </w:r>
      <w:proofErr w:type="spellStart"/>
      <w:r w:rsidR="00882F43">
        <w:rPr>
          <w:i/>
        </w:rPr>
        <w:t>Work</w:t>
      </w:r>
      <w:proofErr w:type="spellEnd"/>
      <w:r w:rsidR="00882F43">
        <w:rPr>
          <w:i/>
        </w:rPr>
        <w:t xml:space="preserve"> &amp; Stress, 19</w:t>
      </w:r>
      <w:r w:rsidR="00882F43">
        <w:t>(3), 192–207. https://doi.org/10.1080/02678370500297720</w:t>
      </w:r>
    </w:p>
    <w:p w:rsidR="00000000" w:rsidRDefault="00882F43">
      <w:pPr>
        <w:pStyle w:val="Normalny1"/>
        <w:ind w:left="720" w:hanging="720"/>
        <w:jc w:val="both"/>
        <w:rPr>
          <w:lang w:val="en-GB"/>
        </w:rPr>
      </w:pPr>
      <w:r>
        <w:t>Kulik, A.</w:t>
      </w:r>
      <w:r>
        <w:t>, Kajka, N</w:t>
      </w:r>
      <w:r w:rsidR="000E0363">
        <w:t>.</w:t>
      </w:r>
      <w:r>
        <w:t xml:space="preserve">, </w:t>
      </w:r>
      <w:proofErr w:type="spellStart"/>
      <w:r>
        <w:t>Banakiewicz</w:t>
      </w:r>
      <w:proofErr w:type="spellEnd"/>
      <w:r>
        <w:t>, A.</w:t>
      </w:r>
      <w:r w:rsidR="007F2BA2" w:rsidRPr="001700AD">
        <w:t xml:space="preserve">, Frańczyk, E. (2023). </w:t>
      </w:r>
      <w:r w:rsidR="007F2BA2" w:rsidRPr="007F2BA2">
        <w:rPr>
          <w:lang w:val="en-GB"/>
        </w:rPr>
        <w:t xml:space="preserve">Risk factors of Secondary Traumatic Stress in psychotherapists studied during the COVID-19. </w:t>
      </w:r>
      <w:r w:rsidR="007F2BA2" w:rsidRPr="007F2BA2">
        <w:rPr>
          <w:i/>
          <w:lang w:val="en-GB"/>
        </w:rPr>
        <w:t>Current Problems of Psychiatry, 24</w:t>
      </w:r>
      <w:r w:rsidR="007F2BA2" w:rsidRPr="007F2BA2">
        <w:rPr>
          <w:lang w:val="en-GB"/>
        </w:rPr>
        <w:t>, 125–133. https://doi.org/10.12923/2353-8627/2023-0012</w:t>
      </w:r>
    </w:p>
    <w:p w:rsidR="00000000" w:rsidRDefault="007F2BA2">
      <w:pPr>
        <w:pStyle w:val="Normalny1"/>
        <w:ind w:left="720" w:hanging="720"/>
        <w:jc w:val="both"/>
        <w:rPr>
          <w:lang w:val="en-GB"/>
        </w:rPr>
      </w:pPr>
      <w:proofErr w:type="spellStart"/>
      <w:r w:rsidRPr="007F2BA2">
        <w:rPr>
          <w:lang w:val="en-GB"/>
        </w:rPr>
        <w:t>Kwak</w:t>
      </w:r>
      <w:proofErr w:type="spellEnd"/>
      <w:r w:rsidRPr="007F2BA2">
        <w:rPr>
          <w:lang w:val="en-GB"/>
        </w:rPr>
        <w:t xml:space="preserve">, M., </w:t>
      </w:r>
      <w:proofErr w:type="spellStart"/>
      <w:r w:rsidRPr="007F2BA2">
        <w:rPr>
          <w:lang w:val="en-GB"/>
        </w:rPr>
        <w:t>Bae</w:t>
      </w:r>
      <w:proofErr w:type="spellEnd"/>
      <w:r w:rsidRPr="007F2BA2">
        <w:rPr>
          <w:lang w:val="en-GB"/>
        </w:rPr>
        <w:t xml:space="preserve">, J. (2017). Posttraumatic growth and related factors in </w:t>
      </w:r>
      <w:proofErr w:type="spellStart"/>
      <w:r w:rsidRPr="007F2BA2">
        <w:rPr>
          <w:lang w:val="en-GB"/>
        </w:rPr>
        <w:t>firefighters</w:t>
      </w:r>
      <w:proofErr w:type="spellEnd"/>
      <w:r w:rsidRPr="007F2BA2">
        <w:rPr>
          <w:lang w:val="en-GB"/>
        </w:rPr>
        <w:t xml:space="preserve">. </w:t>
      </w:r>
      <w:r w:rsidRPr="007F2BA2">
        <w:rPr>
          <w:i/>
          <w:lang w:val="en-GB"/>
        </w:rPr>
        <w:t>Journal of Korean Academy of Psychiatric and Mental Health Nursing</w:t>
      </w:r>
      <w:r w:rsidRPr="007F2BA2">
        <w:rPr>
          <w:lang w:val="en-GB"/>
        </w:rPr>
        <w:t xml:space="preserve">, </w:t>
      </w:r>
      <w:r w:rsidRPr="007F2BA2">
        <w:rPr>
          <w:i/>
          <w:lang w:val="en-GB"/>
        </w:rPr>
        <w:t>26</w:t>
      </w:r>
      <w:r w:rsidRPr="007F2BA2">
        <w:rPr>
          <w:lang w:val="en-GB"/>
        </w:rPr>
        <w:t>(2), 124–133.</w:t>
      </w:r>
    </w:p>
    <w:p w:rsidR="00000000" w:rsidRDefault="007F2BA2">
      <w:pPr>
        <w:pStyle w:val="Normalny1"/>
        <w:ind w:left="720" w:hanging="720"/>
        <w:jc w:val="both"/>
        <w:rPr>
          <w:lang w:val="en-GB"/>
        </w:rPr>
      </w:pPr>
      <w:r w:rsidRPr="007F2BA2">
        <w:rPr>
          <w:lang w:val="en-GB"/>
        </w:rPr>
        <w:t xml:space="preserve">Leung, T., Schmidt, F., </w:t>
      </w:r>
      <w:proofErr w:type="spellStart"/>
      <w:r w:rsidRPr="007F2BA2">
        <w:rPr>
          <w:lang w:val="en-GB"/>
        </w:rPr>
        <w:t>Mushquash</w:t>
      </w:r>
      <w:proofErr w:type="spellEnd"/>
      <w:r w:rsidRPr="007F2BA2">
        <w:rPr>
          <w:lang w:val="en-GB"/>
        </w:rPr>
        <w:t xml:space="preserve">, C. (2023). A personal history of trauma and experience of secondary traumatic stress, vicarious trauma, and burnout in mental health workers: </w:t>
      </w:r>
      <w:r w:rsidR="00A4209D">
        <w:rPr>
          <w:lang w:val="en-GB"/>
        </w:rPr>
        <w:br/>
      </w:r>
      <w:r w:rsidRPr="007F2BA2">
        <w:rPr>
          <w:lang w:val="en-GB"/>
        </w:rPr>
        <w:t xml:space="preserve">A systematic literature review. </w:t>
      </w:r>
      <w:r w:rsidRPr="007F2BA2">
        <w:rPr>
          <w:i/>
          <w:lang w:val="en-GB"/>
        </w:rPr>
        <w:t>Psychological trauma: theory, research, practice, and policy</w:t>
      </w:r>
      <w:r w:rsidRPr="007F2BA2">
        <w:rPr>
          <w:lang w:val="en-GB"/>
        </w:rPr>
        <w:t xml:space="preserve">, </w:t>
      </w:r>
      <w:r w:rsidRPr="007F2BA2">
        <w:rPr>
          <w:i/>
          <w:lang w:val="en-GB"/>
        </w:rPr>
        <w:t>15</w:t>
      </w:r>
      <w:r w:rsidRPr="007F2BA2">
        <w:rPr>
          <w:lang w:val="en-GB"/>
        </w:rPr>
        <w:t>(S2), S213.</w:t>
      </w:r>
    </w:p>
    <w:p w:rsidR="00000000" w:rsidRDefault="007F2BA2">
      <w:pPr>
        <w:pStyle w:val="Normalny1"/>
        <w:ind w:left="720" w:hanging="720"/>
        <w:jc w:val="both"/>
        <w:rPr>
          <w:lang w:val="en-GB"/>
        </w:rPr>
      </w:pPr>
      <w:r w:rsidRPr="007F2BA2">
        <w:rPr>
          <w:lang w:val="en-GB"/>
        </w:rPr>
        <w:t xml:space="preserve">Linley, P. A., Joseph, S. (2004). Positive change following trauma and adversity: A review. </w:t>
      </w:r>
      <w:r w:rsidRPr="007F2BA2">
        <w:rPr>
          <w:i/>
          <w:lang w:val="en-GB"/>
        </w:rPr>
        <w:t>Journal of Traumatic Stress, 17</w:t>
      </w:r>
      <w:r w:rsidRPr="007F2BA2">
        <w:rPr>
          <w:lang w:val="en-GB"/>
        </w:rPr>
        <w:t xml:space="preserve">(1), 11–21. </w:t>
      </w:r>
    </w:p>
    <w:p w:rsidR="00000000" w:rsidRDefault="007F2BA2">
      <w:pPr>
        <w:pStyle w:val="Normalny1"/>
        <w:ind w:left="720" w:hanging="720"/>
        <w:jc w:val="both"/>
        <w:rPr>
          <w:lang w:val="en-GB"/>
        </w:rPr>
      </w:pPr>
      <w:r w:rsidRPr="007F2BA2">
        <w:rPr>
          <w:lang w:val="en-GB"/>
        </w:rPr>
        <w:t>https://doi.org/10.1023/B:JOTS.0000014671.27856.7e</w:t>
      </w:r>
    </w:p>
    <w:p w:rsidR="00000000" w:rsidRDefault="007F2BA2">
      <w:pPr>
        <w:pStyle w:val="Normalny1"/>
        <w:ind w:left="720" w:hanging="720"/>
        <w:jc w:val="both"/>
        <w:rPr>
          <w:lang w:val="en-GB"/>
        </w:rPr>
      </w:pPr>
      <w:proofErr w:type="spellStart"/>
      <w:r w:rsidRPr="007F2BA2">
        <w:rPr>
          <w:lang w:val="en-GB"/>
        </w:rPr>
        <w:lastRenderedPageBreak/>
        <w:t>Makadia</w:t>
      </w:r>
      <w:proofErr w:type="spellEnd"/>
      <w:r w:rsidRPr="007F2BA2">
        <w:rPr>
          <w:lang w:val="en-GB"/>
        </w:rPr>
        <w:t xml:space="preserve">, R., Sabin‐Farrell, R., Turpin, G. (2017). Indirect exposure to client trauma and the impact on trainee clinical psychologists: Secondary traumatic stress or vicarious </w:t>
      </w:r>
      <w:proofErr w:type="spellStart"/>
      <w:r w:rsidR="001A1B6E" w:rsidRPr="001A1B6E">
        <w:rPr>
          <w:lang w:val="en-GB"/>
        </w:rPr>
        <w:t>traumatization</w:t>
      </w:r>
      <w:proofErr w:type="spellEnd"/>
      <w:r w:rsidR="001A1B6E" w:rsidRPr="001A1B6E">
        <w:rPr>
          <w:lang w:val="en-GB"/>
        </w:rPr>
        <w:t>?</w:t>
      </w:r>
      <w:r w:rsidRPr="007F2BA2">
        <w:rPr>
          <w:lang w:val="en-GB"/>
        </w:rPr>
        <w:t xml:space="preserve"> </w:t>
      </w:r>
      <w:r w:rsidRPr="007F2BA2">
        <w:rPr>
          <w:i/>
          <w:lang w:val="en-GB"/>
        </w:rPr>
        <w:t>Clinical psychology &amp; psychotherapy</w:t>
      </w:r>
      <w:r w:rsidRPr="007F2BA2">
        <w:rPr>
          <w:lang w:val="en-GB"/>
        </w:rPr>
        <w:t xml:space="preserve">, </w:t>
      </w:r>
      <w:r w:rsidRPr="007F2BA2">
        <w:rPr>
          <w:i/>
          <w:lang w:val="en-GB"/>
        </w:rPr>
        <w:t>24</w:t>
      </w:r>
      <w:r w:rsidRPr="007F2BA2">
        <w:rPr>
          <w:lang w:val="en-GB"/>
        </w:rPr>
        <w:t>(5), 1059–1068.</w:t>
      </w:r>
    </w:p>
    <w:p w:rsidR="00000000" w:rsidRDefault="007F2BA2">
      <w:pPr>
        <w:pStyle w:val="Normalny1"/>
        <w:ind w:left="720" w:hanging="720"/>
        <w:jc w:val="both"/>
        <w:rPr>
          <w:lang w:val="en-GB"/>
        </w:rPr>
      </w:pPr>
      <w:r w:rsidRPr="007F2BA2">
        <w:rPr>
          <w:lang w:val="en-GB"/>
        </w:rPr>
        <w:t xml:space="preserve">Manning-Jones, S., de </w:t>
      </w:r>
      <w:proofErr w:type="spellStart"/>
      <w:r w:rsidRPr="007F2BA2">
        <w:rPr>
          <w:lang w:val="en-GB"/>
        </w:rPr>
        <w:t>Terte</w:t>
      </w:r>
      <w:proofErr w:type="spellEnd"/>
      <w:r w:rsidRPr="007F2BA2">
        <w:rPr>
          <w:lang w:val="en-GB"/>
        </w:rPr>
        <w:t xml:space="preserve">, I., Stephens, C. (2017). The relationship between vicarious posttraumatic growth and secondary traumatic stress among health professionals. </w:t>
      </w:r>
      <w:r w:rsidRPr="007F2BA2">
        <w:rPr>
          <w:i/>
          <w:lang w:val="en-GB"/>
        </w:rPr>
        <w:t>Journal of Loss and Trauma</w:t>
      </w:r>
      <w:r w:rsidRPr="007F2BA2">
        <w:rPr>
          <w:lang w:val="en-GB"/>
        </w:rPr>
        <w:t xml:space="preserve">, </w:t>
      </w:r>
      <w:r w:rsidRPr="007F2BA2">
        <w:rPr>
          <w:i/>
          <w:lang w:val="en-GB"/>
        </w:rPr>
        <w:t>22</w:t>
      </w:r>
      <w:r w:rsidRPr="007F2BA2">
        <w:rPr>
          <w:lang w:val="en-GB"/>
        </w:rPr>
        <w:t>(3), 256–270.</w:t>
      </w:r>
    </w:p>
    <w:p w:rsidR="00000000" w:rsidRDefault="007F2BA2">
      <w:pPr>
        <w:pStyle w:val="Normalny1"/>
        <w:ind w:left="720" w:hanging="720"/>
        <w:jc w:val="both"/>
        <w:rPr>
          <w:color w:val="000000"/>
          <w:lang w:val="en-GB"/>
        </w:rPr>
      </w:pPr>
      <w:r w:rsidRPr="007F2BA2">
        <w:rPr>
          <w:color w:val="000000"/>
          <w:lang w:val="en-GB"/>
        </w:rPr>
        <w:t xml:space="preserve">McElroy, E., </w:t>
      </w:r>
      <w:proofErr w:type="spellStart"/>
      <w:r w:rsidRPr="007F2BA2">
        <w:rPr>
          <w:color w:val="000000"/>
          <w:lang w:val="en-GB"/>
        </w:rPr>
        <w:t>Shevlin</w:t>
      </w:r>
      <w:proofErr w:type="spellEnd"/>
      <w:r w:rsidRPr="007F2BA2">
        <w:rPr>
          <w:color w:val="000000"/>
          <w:lang w:val="en-GB"/>
        </w:rPr>
        <w:t xml:space="preserve">, M., Murphy, S., McBride, O. (2020). Psychometric properties and population norms of the Posttraumatic Growth Inventory-Short Form (PTGI-SF) in a large sample of trauma survivors. </w:t>
      </w:r>
      <w:r w:rsidRPr="007F2BA2">
        <w:rPr>
          <w:i/>
          <w:color w:val="000000"/>
          <w:lang w:val="en-GB"/>
        </w:rPr>
        <w:t>Psychological Assessment, 32</w:t>
      </w:r>
      <w:r w:rsidRPr="007F2BA2">
        <w:rPr>
          <w:color w:val="000000"/>
          <w:lang w:val="en-GB"/>
        </w:rPr>
        <w:t>(12), 1123–1133.</w:t>
      </w:r>
    </w:p>
    <w:p w:rsidR="00000000" w:rsidRDefault="007F2BA2">
      <w:pPr>
        <w:pStyle w:val="Normalny1"/>
        <w:ind w:left="720" w:hanging="720"/>
        <w:jc w:val="both"/>
        <w:rPr>
          <w:lang w:val="en-GB"/>
        </w:rPr>
      </w:pPr>
      <w:proofErr w:type="spellStart"/>
      <w:r w:rsidRPr="007F2BA2">
        <w:rPr>
          <w:lang w:val="en-GB"/>
        </w:rPr>
        <w:t>Melinte</w:t>
      </w:r>
      <w:proofErr w:type="spellEnd"/>
      <w:r w:rsidRPr="007F2BA2">
        <w:rPr>
          <w:lang w:val="en-GB"/>
        </w:rPr>
        <w:t xml:space="preserve">, B. M., </w:t>
      </w:r>
      <w:proofErr w:type="spellStart"/>
      <w:r w:rsidRPr="007F2BA2">
        <w:rPr>
          <w:lang w:val="en-GB"/>
        </w:rPr>
        <w:t>Turliuc</w:t>
      </w:r>
      <w:proofErr w:type="spellEnd"/>
      <w:r w:rsidRPr="007F2BA2">
        <w:rPr>
          <w:lang w:val="en-GB"/>
        </w:rPr>
        <w:t xml:space="preserve">, M. N., </w:t>
      </w:r>
      <w:proofErr w:type="spellStart"/>
      <w:r w:rsidRPr="007F2BA2">
        <w:rPr>
          <w:lang w:val="en-GB"/>
        </w:rPr>
        <w:t>Măirean</w:t>
      </w:r>
      <w:proofErr w:type="spellEnd"/>
      <w:r w:rsidRPr="007F2BA2">
        <w:rPr>
          <w:lang w:val="en-GB"/>
        </w:rPr>
        <w:t xml:space="preserve">, C. (2023). Secondary traumatic stress and vicarious posttraumatic growth in healthcare professionals: A meta-analysis. </w:t>
      </w:r>
      <w:r w:rsidRPr="007F2BA2">
        <w:rPr>
          <w:i/>
          <w:lang w:val="en-GB"/>
        </w:rPr>
        <w:t>Clinical Psychology: Science and Practice</w:t>
      </w:r>
      <w:r w:rsidRPr="007F2BA2">
        <w:rPr>
          <w:lang w:val="en-GB"/>
        </w:rPr>
        <w:t xml:space="preserve">, </w:t>
      </w:r>
      <w:r w:rsidRPr="007F2BA2">
        <w:rPr>
          <w:i/>
          <w:lang w:val="en-GB"/>
        </w:rPr>
        <w:t>30</w:t>
      </w:r>
      <w:r w:rsidRPr="007F2BA2">
        <w:rPr>
          <w:lang w:val="en-GB"/>
        </w:rPr>
        <w:t>(3), 337.</w:t>
      </w:r>
    </w:p>
    <w:p w:rsidR="00000000" w:rsidRDefault="007F2BA2">
      <w:pPr>
        <w:pStyle w:val="Normalny1"/>
        <w:ind w:left="720" w:hanging="720"/>
        <w:jc w:val="both"/>
        <w:rPr>
          <w:lang w:val="en-GB"/>
        </w:rPr>
      </w:pPr>
      <w:proofErr w:type="spellStart"/>
      <w:r w:rsidRPr="007F2BA2">
        <w:rPr>
          <w:lang w:val="en-GB"/>
        </w:rPr>
        <w:t>Morina</w:t>
      </w:r>
      <w:proofErr w:type="spellEnd"/>
      <w:r w:rsidRPr="007F2BA2">
        <w:rPr>
          <w:lang w:val="en-GB"/>
        </w:rPr>
        <w:t xml:space="preserve">, N., </w:t>
      </w:r>
      <w:proofErr w:type="spellStart"/>
      <w:r w:rsidRPr="007F2BA2">
        <w:rPr>
          <w:lang w:val="en-GB"/>
        </w:rPr>
        <w:t>Ehring</w:t>
      </w:r>
      <w:proofErr w:type="spellEnd"/>
      <w:r w:rsidRPr="007F2BA2">
        <w:rPr>
          <w:lang w:val="en-GB"/>
        </w:rPr>
        <w:t xml:space="preserve">, T., </w:t>
      </w:r>
      <w:proofErr w:type="spellStart"/>
      <w:r w:rsidRPr="007F2BA2">
        <w:rPr>
          <w:lang w:val="en-GB"/>
        </w:rPr>
        <w:t>Priebe</w:t>
      </w:r>
      <w:proofErr w:type="spellEnd"/>
      <w:r w:rsidRPr="007F2BA2">
        <w:rPr>
          <w:lang w:val="en-GB"/>
        </w:rPr>
        <w:t>, S. (2013). Diagnostic utility of the Impact of Event Scale–Revised in two samples of survivors of war. </w:t>
      </w:r>
      <w:proofErr w:type="spellStart"/>
      <w:r w:rsidRPr="007F2BA2">
        <w:rPr>
          <w:i/>
          <w:lang w:val="en-GB"/>
        </w:rPr>
        <w:t>PLoS</w:t>
      </w:r>
      <w:proofErr w:type="spellEnd"/>
      <w:r w:rsidRPr="007F2BA2">
        <w:rPr>
          <w:i/>
          <w:lang w:val="en-GB"/>
        </w:rPr>
        <w:t xml:space="preserve"> ONE, 8</w:t>
      </w:r>
      <w:r w:rsidRPr="007F2BA2">
        <w:rPr>
          <w:lang w:val="en-GB"/>
        </w:rPr>
        <w:t>(12), e83916. </w:t>
      </w:r>
    </w:p>
    <w:p w:rsidR="00000000" w:rsidRDefault="007F2BA2">
      <w:pPr>
        <w:pStyle w:val="Normalny1"/>
        <w:ind w:left="720" w:hanging="720"/>
        <w:jc w:val="both"/>
        <w:rPr>
          <w:lang w:val="en-GB"/>
        </w:rPr>
      </w:pPr>
      <w:r w:rsidRPr="007F2BA2">
        <w:rPr>
          <w:lang w:val="en-GB"/>
        </w:rPr>
        <w:t>https://doi.org/10.1371/journal.pone.0083916</w:t>
      </w:r>
    </w:p>
    <w:p w:rsidR="00000000" w:rsidRDefault="007F2BA2">
      <w:pPr>
        <w:pStyle w:val="Normalny1"/>
        <w:ind w:left="720" w:hanging="720"/>
        <w:jc w:val="both"/>
        <w:rPr>
          <w:lang w:val="en-GB"/>
        </w:rPr>
      </w:pPr>
      <w:r w:rsidRPr="007F2BA2">
        <w:rPr>
          <w:lang w:val="en-GB"/>
        </w:rPr>
        <w:t xml:space="preserve">Motta, R. W., </w:t>
      </w:r>
      <w:proofErr w:type="spellStart"/>
      <w:r w:rsidRPr="007F2BA2">
        <w:rPr>
          <w:lang w:val="en-GB"/>
        </w:rPr>
        <w:t>Kefer</w:t>
      </w:r>
      <w:proofErr w:type="spellEnd"/>
      <w:r w:rsidRPr="007F2BA2">
        <w:rPr>
          <w:lang w:val="en-GB"/>
        </w:rPr>
        <w:t xml:space="preserve">, J. M., Hertz, M. F., </w:t>
      </w:r>
      <w:proofErr w:type="spellStart"/>
      <w:r w:rsidRPr="007F2BA2">
        <w:rPr>
          <w:lang w:val="en-GB"/>
        </w:rPr>
        <w:t>Hafeez</w:t>
      </w:r>
      <w:proofErr w:type="spellEnd"/>
      <w:r w:rsidRPr="007F2BA2">
        <w:rPr>
          <w:lang w:val="en-GB"/>
        </w:rPr>
        <w:t>, S. (1999). Initial evaluation of the Secondary Trauma Questionnaire. </w:t>
      </w:r>
      <w:r w:rsidRPr="007F2BA2">
        <w:rPr>
          <w:i/>
          <w:lang w:val="en-GB"/>
        </w:rPr>
        <w:t>Psychological Reports, 85</w:t>
      </w:r>
      <w:r w:rsidRPr="007F2BA2">
        <w:rPr>
          <w:lang w:val="en-GB"/>
        </w:rPr>
        <w:t>(3_suppl), 997–1002. </w:t>
      </w:r>
    </w:p>
    <w:p w:rsidR="00000000" w:rsidRDefault="007F2BA2">
      <w:pPr>
        <w:pStyle w:val="Normalny1"/>
        <w:ind w:left="720" w:hanging="720"/>
        <w:jc w:val="both"/>
        <w:rPr>
          <w:lang w:val="en-GB"/>
        </w:rPr>
      </w:pPr>
      <w:r w:rsidRPr="007F2BA2">
        <w:rPr>
          <w:lang w:val="en-GB"/>
        </w:rPr>
        <w:t>https://doi.org/10.2466/pr0.1999.85.3.997</w:t>
      </w:r>
    </w:p>
    <w:p w:rsidR="00000000" w:rsidRDefault="007F2BA2">
      <w:pPr>
        <w:pStyle w:val="Normalny1"/>
        <w:ind w:left="720" w:hanging="720"/>
        <w:jc w:val="both"/>
        <w:rPr>
          <w:lang w:val="en-GB"/>
        </w:rPr>
      </w:pPr>
      <w:r w:rsidRPr="001700AD">
        <w:t xml:space="preserve">Mystakidou, K., Tsilika, E., Parpa, E., Galanos, A., Vlahos, L. (2007). </w:t>
      </w:r>
      <w:r w:rsidRPr="007F2BA2">
        <w:rPr>
          <w:lang w:val="en-GB"/>
        </w:rPr>
        <w:t>Psychometric properties of the Impact of Event Scale-Revised (IES-R) in a sample of Greek cancer patients. </w:t>
      </w:r>
      <w:r w:rsidRPr="007F2BA2">
        <w:rPr>
          <w:i/>
          <w:lang w:val="en-GB"/>
        </w:rPr>
        <w:t>Journal of Pain and Symptom Management, 33</w:t>
      </w:r>
      <w:r w:rsidRPr="007F2BA2">
        <w:rPr>
          <w:lang w:val="en-GB"/>
        </w:rPr>
        <w:t>(4), 454–461. </w:t>
      </w:r>
    </w:p>
    <w:p w:rsidR="00000000" w:rsidRDefault="007F2BA2">
      <w:pPr>
        <w:pStyle w:val="Normalny1"/>
        <w:ind w:left="720" w:hanging="720"/>
        <w:jc w:val="both"/>
        <w:rPr>
          <w:lang w:val="en-GB"/>
        </w:rPr>
      </w:pPr>
      <w:r w:rsidRPr="007F2BA2">
        <w:rPr>
          <w:lang w:val="en-GB"/>
        </w:rPr>
        <w:t>https://doi.org/10.1016/j.jpainsymman.2006.09.023</w:t>
      </w:r>
    </w:p>
    <w:p w:rsidR="00000000" w:rsidRDefault="00882F43">
      <w:pPr>
        <w:pStyle w:val="Normalny1"/>
        <w:ind w:left="720" w:hanging="720"/>
        <w:jc w:val="both"/>
        <w:rPr>
          <w:lang w:val="en-GB"/>
        </w:rPr>
      </w:pPr>
      <w:proofErr w:type="spellStart"/>
      <w:r>
        <w:t>Noda</w:t>
      </w:r>
      <w:proofErr w:type="spellEnd"/>
      <w:r>
        <w:t xml:space="preserve">, Y., </w:t>
      </w:r>
      <w:proofErr w:type="spellStart"/>
      <w:r>
        <w:t>Asano</w:t>
      </w:r>
      <w:proofErr w:type="spellEnd"/>
      <w:r>
        <w:t xml:space="preserve">, K., </w:t>
      </w:r>
      <w:proofErr w:type="spellStart"/>
      <w:r>
        <w:t>Shimizu</w:t>
      </w:r>
      <w:proofErr w:type="spellEnd"/>
      <w:r>
        <w:t xml:space="preserve">, E., </w:t>
      </w:r>
      <w:proofErr w:type="spellStart"/>
      <w:r>
        <w:t>Hirano</w:t>
      </w:r>
      <w:proofErr w:type="spellEnd"/>
      <w:r>
        <w:t xml:space="preserve">, Y. (2019). </w:t>
      </w:r>
      <w:r w:rsidR="007F2BA2" w:rsidRPr="007F2BA2">
        <w:rPr>
          <w:lang w:val="en-GB"/>
        </w:rPr>
        <w:t xml:space="preserve">Assessing Subgroup Differences in Posttraumatic Stress Disorder Among Rescue Workers in Japan With the Impact of Event Scale–Revised. </w:t>
      </w:r>
      <w:r w:rsidR="007F2BA2" w:rsidRPr="007F2BA2">
        <w:rPr>
          <w:i/>
          <w:lang w:val="en-GB"/>
        </w:rPr>
        <w:t>Disaster medicine and public health preparedness</w:t>
      </w:r>
      <w:r w:rsidR="007F2BA2" w:rsidRPr="007F2BA2">
        <w:rPr>
          <w:lang w:val="en-GB"/>
        </w:rPr>
        <w:t xml:space="preserve">, </w:t>
      </w:r>
      <w:r w:rsidR="007F2BA2" w:rsidRPr="007F2BA2">
        <w:rPr>
          <w:i/>
          <w:lang w:val="en-GB"/>
        </w:rPr>
        <w:t>13</w:t>
      </w:r>
      <w:r w:rsidR="007F2BA2" w:rsidRPr="007F2BA2">
        <w:rPr>
          <w:lang w:val="en-GB"/>
        </w:rPr>
        <w:t>(2), 309–318.</w:t>
      </w:r>
    </w:p>
    <w:p w:rsidR="00000000" w:rsidRDefault="007F2BA2">
      <w:pPr>
        <w:pStyle w:val="Normalny1"/>
        <w:ind w:left="720" w:hanging="720"/>
        <w:jc w:val="both"/>
      </w:pPr>
      <w:proofErr w:type="spellStart"/>
      <w:r w:rsidRPr="007F2BA2">
        <w:rPr>
          <w:lang w:val="en-GB"/>
        </w:rPr>
        <w:t>Ogińska‑Bulik</w:t>
      </w:r>
      <w:proofErr w:type="spellEnd"/>
      <w:r w:rsidRPr="007F2BA2">
        <w:rPr>
          <w:lang w:val="en-GB"/>
        </w:rPr>
        <w:t xml:space="preserve">, N. (2018). Secondary traumatic stress and vicarious posttraumatic growth in nurses working in palliative care–the role of psychological resilience. </w:t>
      </w:r>
      <w:proofErr w:type="spellStart"/>
      <w:r w:rsidR="00882F43">
        <w:rPr>
          <w:i/>
        </w:rPr>
        <w:t>Advances</w:t>
      </w:r>
      <w:proofErr w:type="spellEnd"/>
      <w:r w:rsidR="00882F43">
        <w:rPr>
          <w:i/>
        </w:rPr>
        <w:t xml:space="preserve"> </w:t>
      </w:r>
      <w:proofErr w:type="spellStart"/>
      <w:r w:rsidR="00882F43">
        <w:rPr>
          <w:i/>
        </w:rPr>
        <w:t>in</w:t>
      </w:r>
      <w:proofErr w:type="spellEnd"/>
      <w:r w:rsidR="00882F43">
        <w:rPr>
          <w:i/>
        </w:rPr>
        <w:t xml:space="preserve"> Psychiatry and </w:t>
      </w:r>
      <w:proofErr w:type="spellStart"/>
      <w:r w:rsidR="00882F43">
        <w:rPr>
          <w:i/>
        </w:rPr>
        <w:t>Neurology</w:t>
      </w:r>
      <w:proofErr w:type="spellEnd"/>
      <w:r w:rsidR="00882F43">
        <w:rPr>
          <w:i/>
        </w:rPr>
        <w:t>/Postępy Psychiatrii i Neurologii, 27(</w:t>
      </w:r>
      <w:r w:rsidR="00882F43">
        <w:t>3), 196–210.</w:t>
      </w:r>
    </w:p>
    <w:p w:rsidR="00000000" w:rsidRDefault="00882F43">
      <w:pPr>
        <w:pStyle w:val="Normalny1"/>
        <w:ind w:left="720" w:hanging="720"/>
        <w:jc w:val="both"/>
      </w:pPr>
      <w:proofErr w:type="spellStart"/>
      <w:r>
        <w:t>Ogińska‑Bulik</w:t>
      </w:r>
      <w:proofErr w:type="spellEnd"/>
      <w:r>
        <w:t>, N. (2021). Negatywne i pozytywne konsekwencje wtórnej ekspozycji na traumę wśród pielę</w:t>
      </w:r>
      <w:r>
        <w:t xml:space="preserve">gniarek. </w:t>
      </w:r>
      <w:r>
        <w:rPr>
          <w:i/>
        </w:rPr>
        <w:t>Sztuka Leczenia, 27</w:t>
      </w:r>
      <w:r>
        <w:t>(1), 9–21.</w:t>
      </w:r>
    </w:p>
    <w:p w:rsidR="00000000" w:rsidRDefault="00882F43">
      <w:pPr>
        <w:pStyle w:val="Normalny1"/>
        <w:ind w:left="720" w:hanging="720"/>
        <w:jc w:val="both"/>
        <w:rPr>
          <w:lang w:val="en-GB"/>
        </w:rPr>
      </w:pPr>
      <w:proofErr w:type="spellStart"/>
      <w:r>
        <w:t>Ogińska‑Bulik</w:t>
      </w:r>
      <w:proofErr w:type="spellEnd"/>
      <w:r>
        <w:t xml:space="preserve">, N. (2023a). Rola poznawczego przetwarzania traumy w występowaniu objawów wtórnego stresu traumatycznego u profesjonalistów pracujących z osobami po doświadczeniach traumatycznych. </w:t>
      </w:r>
      <w:proofErr w:type="spellStart"/>
      <w:r w:rsidR="007F2BA2" w:rsidRPr="007F2BA2">
        <w:rPr>
          <w:i/>
          <w:lang w:val="en-GB"/>
        </w:rPr>
        <w:t>Psychiatria</w:t>
      </w:r>
      <w:proofErr w:type="spellEnd"/>
      <w:r w:rsidR="007F2BA2" w:rsidRPr="007F2BA2">
        <w:rPr>
          <w:i/>
          <w:lang w:val="en-GB"/>
        </w:rPr>
        <w:t xml:space="preserve"> </w:t>
      </w:r>
      <w:proofErr w:type="spellStart"/>
      <w:r w:rsidR="007F2BA2" w:rsidRPr="007F2BA2">
        <w:rPr>
          <w:i/>
          <w:lang w:val="en-GB"/>
        </w:rPr>
        <w:t>Polska</w:t>
      </w:r>
      <w:proofErr w:type="spellEnd"/>
      <w:r w:rsidR="007F2BA2" w:rsidRPr="007F2BA2">
        <w:rPr>
          <w:i/>
          <w:lang w:val="en-GB"/>
        </w:rPr>
        <w:t>, 57</w:t>
      </w:r>
      <w:r w:rsidR="007F2BA2" w:rsidRPr="007F2BA2">
        <w:rPr>
          <w:lang w:val="en-GB"/>
        </w:rPr>
        <w:t>(4), 789–804.</w:t>
      </w:r>
    </w:p>
    <w:p w:rsidR="00000000" w:rsidRDefault="007F2BA2">
      <w:pPr>
        <w:pStyle w:val="Normalny1"/>
        <w:ind w:left="720" w:hanging="720"/>
        <w:jc w:val="both"/>
      </w:pPr>
      <w:proofErr w:type="spellStart"/>
      <w:r w:rsidRPr="007F2BA2">
        <w:rPr>
          <w:lang w:val="en-GB"/>
        </w:rPr>
        <w:lastRenderedPageBreak/>
        <w:t>Ogińska‑Bulik</w:t>
      </w:r>
      <w:proofErr w:type="spellEnd"/>
      <w:r w:rsidRPr="007F2BA2">
        <w:rPr>
          <w:lang w:val="en-GB"/>
        </w:rPr>
        <w:t xml:space="preserve">, N. (2023b). From negative to positive effects of secondary exposure to trauma – The mediating role of cognitive coping strategies. </w:t>
      </w:r>
      <w:r w:rsidR="00882F43">
        <w:rPr>
          <w:i/>
        </w:rPr>
        <w:t>Medycyna Pracy, 74</w:t>
      </w:r>
      <w:r w:rsidR="00882F43">
        <w:t>(6), 449–460. https://doi.org/10.13075/mp.5893.01432</w:t>
      </w:r>
    </w:p>
    <w:p w:rsidR="00000000" w:rsidRDefault="00882F43">
      <w:pPr>
        <w:pStyle w:val="Normalny1"/>
        <w:ind w:left="720" w:hanging="720"/>
        <w:jc w:val="both"/>
        <w:rPr>
          <w:lang w:val="en-GB"/>
        </w:rPr>
      </w:pPr>
      <w:r>
        <w:t xml:space="preserve">Ogińska-Bulik, N., </w:t>
      </w:r>
      <w:proofErr w:type="spellStart"/>
      <w:r>
        <w:t>Ju</w:t>
      </w:r>
      <w:r>
        <w:t>czyński</w:t>
      </w:r>
      <w:proofErr w:type="spellEnd"/>
      <w:r>
        <w:t xml:space="preserve">, Z. (2010). Rozwój potraumatyczny-charakterystyka i pomiar. </w:t>
      </w:r>
      <w:proofErr w:type="spellStart"/>
      <w:r w:rsidR="007F2BA2" w:rsidRPr="007F2BA2">
        <w:rPr>
          <w:i/>
          <w:lang w:val="en-GB"/>
        </w:rPr>
        <w:t>Psychiatria</w:t>
      </w:r>
      <w:proofErr w:type="spellEnd"/>
      <w:r w:rsidR="007F2BA2" w:rsidRPr="007F2BA2">
        <w:rPr>
          <w:lang w:val="en-GB"/>
        </w:rPr>
        <w:t xml:space="preserve">, </w:t>
      </w:r>
      <w:r w:rsidR="007F2BA2" w:rsidRPr="007F2BA2">
        <w:rPr>
          <w:i/>
          <w:lang w:val="en-GB"/>
        </w:rPr>
        <w:t>7</w:t>
      </w:r>
      <w:r w:rsidR="007F2BA2" w:rsidRPr="007F2BA2">
        <w:rPr>
          <w:lang w:val="en-GB"/>
        </w:rPr>
        <w:t>(4), 129–142.</w:t>
      </w:r>
    </w:p>
    <w:p w:rsidR="00000000" w:rsidRDefault="007F2BA2">
      <w:pPr>
        <w:pStyle w:val="Normalny1"/>
        <w:ind w:left="720" w:hanging="720"/>
        <w:jc w:val="both"/>
        <w:rPr>
          <w:lang w:val="en-GB"/>
        </w:rPr>
      </w:pPr>
      <w:proofErr w:type="spellStart"/>
      <w:r w:rsidRPr="00145DC2">
        <w:t>Ogińska‑Bulik</w:t>
      </w:r>
      <w:proofErr w:type="spellEnd"/>
      <w:r w:rsidRPr="00145DC2">
        <w:t xml:space="preserve">, N., </w:t>
      </w:r>
      <w:proofErr w:type="spellStart"/>
      <w:r w:rsidRPr="00145DC2">
        <w:t>Juczyński</w:t>
      </w:r>
      <w:proofErr w:type="spellEnd"/>
      <w:r w:rsidRPr="00145DC2">
        <w:t xml:space="preserve">, Z. (2018). </w:t>
      </w:r>
      <w:r w:rsidRPr="007F2BA2">
        <w:rPr>
          <w:lang w:val="en-GB"/>
        </w:rPr>
        <w:t xml:space="preserve">Cognitive processing of trauma: The development of the Polish version of the Cognitive Processing of Trauma Scale (CPOTS). </w:t>
      </w:r>
      <w:proofErr w:type="spellStart"/>
      <w:r w:rsidRPr="007F2BA2">
        <w:rPr>
          <w:i/>
          <w:lang w:val="en-GB"/>
        </w:rPr>
        <w:t>Przegląd</w:t>
      </w:r>
      <w:proofErr w:type="spellEnd"/>
      <w:r w:rsidRPr="007F2BA2">
        <w:rPr>
          <w:i/>
          <w:lang w:val="en-GB"/>
        </w:rPr>
        <w:t xml:space="preserve"> </w:t>
      </w:r>
      <w:proofErr w:type="spellStart"/>
      <w:r w:rsidRPr="007F2BA2">
        <w:rPr>
          <w:i/>
          <w:lang w:val="en-GB"/>
        </w:rPr>
        <w:t>Psychologiczny</w:t>
      </w:r>
      <w:proofErr w:type="spellEnd"/>
      <w:r w:rsidRPr="007F2BA2">
        <w:rPr>
          <w:i/>
          <w:lang w:val="en-GB"/>
        </w:rPr>
        <w:t>, 61</w:t>
      </w:r>
      <w:r w:rsidRPr="007F2BA2">
        <w:rPr>
          <w:lang w:val="en-GB"/>
        </w:rPr>
        <w:t>(2), 171–187.</w:t>
      </w:r>
    </w:p>
    <w:p w:rsidR="00000000" w:rsidRDefault="007F2BA2">
      <w:pPr>
        <w:pStyle w:val="Normalny1"/>
        <w:ind w:left="720" w:hanging="720"/>
        <w:jc w:val="both"/>
      </w:pPr>
      <w:r w:rsidRPr="00145DC2">
        <w:t xml:space="preserve">Ogińska-Bulik, N., Michalska, P., </w:t>
      </w:r>
      <w:proofErr w:type="spellStart"/>
      <w:r w:rsidRPr="00145DC2">
        <w:t>Juczyński</w:t>
      </w:r>
      <w:proofErr w:type="spellEnd"/>
      <w:r w:rsidRPr="00145DC2">
        <w:t xml:space="preserve">, Z. (2023). </w:t>
      </w:r>
      <w:r w:rsidRPr="007F2BA2">
        <w:rPr>
          <w:lang w:val="en-GB"/>
        </w:rPr>
        <w:t>From negative to positive effects of secondary exposure to trauma – the mediating role of cognitive coping strategies. </w:t>
      </w:r>
      <w:r w:rsidR="00882F43">
        <w:rPr>
          <w:i/>
        </w:rPr>
        <w:t>Medycyna Pracy, 74</w:t>
      </w:r>
      <w:r w:rsidR="00882F43">
        <w:t>(6), 449–460. h</w:t>
      </w:r>
      <w:r w:rsidR="00882F43">
        <w:t>ttps://doi.org/10.13075/mp.5893.01432</w:t>
      </w:r>
    </w:p>
    <w:p w:rsidR="00000000" w:rsidRDefault="00882F43">
      <w:pPr>
        <w:pStyle w:val="Normalny1"/>
        <w:ind w:left="720" w:hanging="720"/>
        <w:jc w:val="both"/>
        <w:rPr>
          <w:color w:val="000000"/>
          <w:lang w:val="en-GB"/>
        </w:rPr>
      </w:pPr>
      <w:proofErr w:type="spellStart"/>
      <w:r>
        <w:rPr>
          <w:color w:val="000000"/>
        </w:rPr>
        <w:t>Podsakoff</w:t>
      </w:r>
      <w:proofErr w:type="spellEnd"/>
      <w:r>
        <w:rPr>
          <w:color w:val="000000"/>
        </w:rPr>
        <w:t xml:space="preserve">, P. M., MacKenzie, S. B., Lee, J. Y., </w:t>
      </w:r>
      <w:proofErr w:type="spellStart"/>
      <w:r>
        <w:rPr>
          <w:color w:val="000000"/>
        </w:rPr>
        <w:t>Podsakoff</w:t>
      </w:r>
      <w:proofErr w:type="spellEnd"/>
      <w:r>
        <w:rPr>
          <w:color w:val="000000"/>
        </w:rPr>
        <w:t xml:space="preserve">, N. P. (2003). </w:t>
      </w:r>
      <w:r w:rsidR="007F2BA2" w:rsidRPr="007F2BA2">
        <w:rPr>
          <w:color w:val="000000"/>
          <w:lang w:val="en-GB"/>
        </w:rPr>
        <w:t xml:space="preserve">Common method biases in </w:t>
      </w:r>
      <w:proofErr w:type="spellStart"/>
      <w:r w:rsidR="007F2BA2" w:rsidRPr="007F2BA2">
        <w:rPr>
          <w:color w:val="000000"/>
          <w:lang w:val="en-GB"/>
        </w:rPr>
        <w:t>behavioral</w:t>
      </w:r>
      <w:proofErr w:type="spellEnd"/>
      <w:r w:rsidR="007F2BA2" w:rsidRPr="007F2BA2">
        <w:rPr>
          <w:color w:val="000000"/>
          <w:lang w:val="en-GB"/>
        </w:rPr>
        <w:t xml:space="preserve"> research: A critical review. </w:t>
      </w:r>
      <w:r w:rsidR="007F2BA2" w:rsidRPr="007F2BA2">
        <w:rPr>
          <w:i/>
          <w:color w:val="000000"/>
          <w:lang w:val="en-GB"/>
        </w:rPr>
        <w:t>Journal of Applied Psychology, 88</w:t>
      </w:r>
      <w:r w:rsidR="007F2BA2" w:rsidRPr="007F2BA2">
        <w:rPr>
          <w:color w:val="000000"/>
          <w:lang w:val="en-GB"/>
        </w:rPr>
        <w:t>(5), 879–903.</w:t>
      </w:r>
    </w:p>
    <w:p w:rsidR="00000000" w:rsidRDefault="007F2BA2">
      <w:pPr>
        <w:pStyle w:val="Normalny1"/>
        <w:ind w:left="720" w:hanging="720"/>
        <w:jc w:val="both"/>
        <w:rPr>
          <w:lang w:val="en-GB"/>
        </w:rPr>
      </w:pPr>
      <w:proofErr w:type="spellStart"/>
      <w:r w:rsidRPr="007F2BA2">
        <w:rPr>
          <w:lang w:val="en-GB"/>
        </w:rPr>
        <w:t>Puri</w:t>
      </w:r>
      <w:proofErr w:type="spellEnd"/>
      <w:r w:rsidRPr="007F2BA2">
        <w:rPr>
          <w:lang w:val="en-GB"/>
        </w:rPr>
        <w:t xml:space="preserve">, B. K., </w:t>
      </w:r>
      <w:proofErr w:type="spellStart"/>
      <w:r w:rsidRPr="007F2BA2">
        <w:rPr>
          <w:lang w:val="en-GB"/>
        </w:rPr>
        <w:t>Potoglou</w:t>
      </w:r>
      <w:proofErr w:type="spellEnd"/>
      <w:r w:rsidRPr="007F2BA2">
        <w:rPr>
          <w:lang w:val="en-GB"/>
        </w:rPr>
        <w:t xml:space="preserve">, A., </w:t>
      </w:r>
      <w:proofErr w:type="spellStart"/>
      <w:r w:rsidRPr="007F2BA2">
        <w:rPr>
          <w:lang w:val="en-GB"/>
        </w:rPr>
        <w:t>Kalaitzaki</w:t>
      </w:r>
      <w:proofErr w:type="spellEnd"/>
      <w:r w:rsidRPr="007F2BA2">
        <w:rPr>
          <w:lang w:val="en-GB"/>
        </w:rPr>
        <w:t xml:space="preserve">, A., </w:t>
      </w:r>
      <w:proofErr w:type="spellStart"/>
      <w:r w:rsidRPr="007F2BA2">
        <w:rPr>
          <w:lang w:val="en-GB"/>
        </w:rPr>
        <w:t>Yotsidi</w:t>
      </w:r>
      <w:proofErr w:type="spellEnd"/>
      <w:r w:rsidRPr="007F2BA2">
        <w:rPr>
          <w:lang w:val="en-GB"/>
        </w:rPr>
        <w:t xml:space="preserve">, V., </w:t>
      </w:r>
      <w:proofErr w:type="spellStart"/>
      <w:r w:rsidRPr="007F2BA2">
        <w:rPr>
          <w:lang w:val="en-GB"/>
        </w:rPr>
        <w:t>Theodoratou</w:t>
      </w:r>
      <w:proofErr w:type="spellEnd"/>
      <w:r w:rsidRPr="007F2BA2">
        <w:rPr>
          <w:lang w:val="en-GB"/>
        </w:rPr>
        <w:t xml:space="preserve">, M. (2025). Evaluating post-traumatic growth among healthcare workers. </w:t>
      </w:r>
      <w:r w:rsidRPr="007F2BA2">
        <w:rPr>
          <w:i/>
          <w:lang w:val="en-GB"/>
        </w:rPr>
        <w:t>AIMS Public Health</w:t>
      </w:r>
      <w:r w:rsidRPr="007F2BA2">
        <w:rPr>
          <w:lang w:val="en-GB"/>
        </w:rPr>
        <w:t xml:space="preserve">, </w:t>
      </w:r>
      <w:r w:rsidRPr="007F2BA2">
        <w:rPr>
          <w:i/>
          <w:lang w:val="en-GB"/>
        </w:rPr>
        <w:t>12</w:t>
      </w:r>
      <w:r w:rsidRPr="007F2BA2">
        <w:rPr>
          <w:lang w:val="en-GB"/>
        </w:rPr>
        <w:t>(1), 202.</w:t>
      </w:r>
    </w:p>
    <w:p w:rsidR="00000000" w:rsidRDefault="00882F43">
      <w:pPr>
        <w:pStyle w:val="Normalny1"/>
        <w:ind w:left="720" w:hanging="720"/>
        <w:jc w:val="both"/>
        <w:rPr>
          <w:lang w:val="en-GB"/>
        </w:rPr>
      </w:pPr>
      <w:r>
        <w:t xml:space="preserve">Rzeszutek, M., Partyka, M., Gołąb, A. (2016). </w:t>
      </w:r>
      <w:r w:rsidR="007F2BA2" w:rsidRPr="007F2BA2">
        <w:rPr>
          <w:lang w:val="en-GB"/>
        </w:rPr>
        <w:t xml:space="preserve">Secondary traumatic stress disorder symptoms in a sample of therapists and psychiatrists working with trauma victims. </w:t>
      </w:r>
      <w:proofErr w:type="spellStart"/>
      <w:r w:rsidR="007F2BA2" w:rsidRPr="007F2BA2">
        <w:rPr>
          <w:i/>
          <w:lang w:val="en-GB"/>
        </w:rPr>
        <w:t>Studia</w:t>
      </w:r>
      <w:proofErr w:type="spellEnd"/>
      <w:r w:rsidR="007F2BA2" w:rsidRPr="007F2BA2">
        <w:rPr>
          <w:i/>
          <w:lang w:val="en-GB"/>
        </w:rPr>
        <w:t xml:space="preserve"> </w:t>
      </w:r>
      <w:proofErr w:type="spellStart"/>
      <w:r w:rsidR="007F2BA2" w:rsidRPr="007F2BA2">
        <w:rPr>
          <w:i/>
          <w:lang w:val="en-GB"/>
        </w:rPr>
        <w:t>Psychologiczne</w:t>
      </w:r>
      <w:proofErr w:type="spellEnd"/>
      <w:r w:rsidR="007F2BA2" w:rsidRPr="007F2BA2">
        <w:rPr>
          <w:i/>
          <w:lang w:val="en-GB"/>
        </w:rPr>
        <w:t>, 54</w:t>
      </w:r>
      <w:r w:rsidR="007F2BA2" w:rsidRPr="007F2BA2">
        <w:rPr>
          <w:lang w:val="en-GB"/>
        </w:rPr>
        <w:t>(2), 34–40.</w:t>
      </w:r>
    </w:p>
    <w:p w:rsidR="00000000" w:rsidRDefault="007F2BA2">
      <w:pPr>
        <w:pStyle w:val="Normalny1"/>
        <w:ind w:left="720" w:hanging="720"/>
        <w:jc w:val="both"/>
        <w:rPr>
          <w:lang w:val="en-GB"/>
        </w:rPr>
      </w:pPr>
      <w:r w:rsidRPr="007F2BA2">
        <w:rPr>
          <w:lang w:val="en-GB"/>
        </w:rPr>
        <w:t xml:space="preserve">Scott, H., Killian, K., Roebuck, B. S., </w:t>
      </w:r>
      <w:proofErr w:type="spellStart"/>
      <w:r w:rsidRPr="007F2BA2">
        <w:rPr>
          <w:lang w:val="en-GB"/>
        </w:rPr>
        <w:t>McGlinchey</w:t>
      </w:r>
      <w:proofErr w:type="spellEnd"/>
      <w:r w:rsidRPr="007F2BA2">
        <w:rPr>
          <w:lang w:val="en-GB"/>
        </w:rPr>
        <w:t xml:space="preserve">, D., Ferns, A., </w:t>
      </w:r>
      <w:proofErr w:type="spellStart"/>
      <w:r w:rsidRPr="007F2BA2">
        <w:rPr>
          <w:lang w:val="en-GB"/>
        </w:rPr>
        <w:t>Sakauye</w:t>
      </w:r>
      <w:proofErr w:type="spellEnd"/>
      <w:r w:rsidRPr="007F2BA2">
        <w:rPr>
          <w:lang w:val="en-GB"/>
        </w:rPr>
        <w:t xml:space="preserve">, P., ... &amp; </w:t>
      </w:r>
      <w:proofErr w:type="spellStart"/>
      <w:r w:rsidRPr="007F2BA2">
        <w:rPr>
          <w:lang w:val="en-GB"/>
        </w:rPr>
        <w:t>Prashad</w:t>
      </w:r>
      <w:proofErr w:type="spellEnd"/>
      <w:r w:rsidRPr="007F2BA2">
        <w:rPr>
          <w:lang w:val="en-GB"/>
        </w:rPr>
        <w:t xml:space="preserve">, N. A. (2023). Self-care and vicarious resilience in victim advocates: A national study. </w:t>
      </w:r>
      <w:proofErr w:type="spellStart"/>
      <w:r w:rsidRPr="007F2BA2">
        <w:rPr>
          <w:i/>
          <w:lang w:val="en-GB"/>
        </w:rPr>
        <w:t>Traumatology</w:t>
      </w:r>
      <w:proofErr w:type="spellEnd"/>
      <w:r w:rsidRPr="007F2BA2">
        <w:rPr>
          <w:lang w:val="en-GB"/>
        </w:rPr>
        <w:t xml:space="preserve">, </w:t>
      </w:r>
      <w:r w:rsidRPr="007F2BA2">
        <w:rPr>
          <w:i/>
          <w:lang w:val="en-GB"/>
        </w:rPr>
        <w:t>29</w:t>
      </w:r>
      <w:r w:rsidRPr="007F2BA2">
        <w:rPr>
          <w:lang w:val="en-GB"/>
        </w:rPr>
        <w:t>(3), 368.</w:t>
      </w:r>
    </w:p>
    <w:p w:rsidR="00000000" w:rsidRDefault="007F2BA2">
      <w:pPr>
        <w:pStyle w:val="Normalny1"/>
        <w:ind w:left="720" w:hanging="720"/>
        <w:jc w:val="both"/>
        <w:rPr>
          <w:color w:val="000000"/>
          <w:lang w:val="en-GB"/>
        </w:rPr>
      </w:pPr>
      <w:r w:rsidRPr="007F2BA2">
        <w:rPr>
          <w:color w:val="000000"/>
          <w:lang w:val="en-GB"/>
        </w:rPr>
        <w:t xml:space="preserve">Shakespeare-Finch, J., Barrington, A. J. (2012). Growth after trauma: Outlining a model of vicarious posttraumatic growth in therapy. </w:t>
      </w:r>
      <w:r w:rsidRPr="007F2BA2">
        <w:rPr>
          <w:i/>
          <w:color w:val="000000"/>
          <w:lang w:val="en-GB"/>
        </w:rPr>
        <w:t>Practice Innovations, 1</w:t>
      </w:r>
      <w:r w:rsidRPr="007F2BA2">
        <w:rPr>
          <w:color w:val="000000"/>
          <w:lang w:val="en-GB"/>
        </w:rPr>
        <w:t>(1), 36–46.</w:t>
      </w:r>
    </w:p>
    <w:p w:rsidR="00000000" w:rsidRDefault="007F2BA2">
      <w:pPr>
        <w:pStyle w:val="Normalny1"/>
        <w:ind w:left="720" w:hanging="720"/>
        <w:jc w:val="both"/>
        <w:rPr>
          <w:lang w:val="en-GB"/>
        </w:rPr>
      </w:pPr>
      <w:r w:rsidRPr="007F2BA2">
        <w:rPr>
          <w:lang w:val="en-GB"/>
        </w:rPr>
        <w:t xml:space="preserve">Shin, Y., Nam, J. K., Lee, A., Kim, Y. (2023). Latent profile analysis of post-traumatic stress and post-traumatic growth among </w:t>
      </w:r>
      <w:proofErr w:type="spellStart"/>
      <w:r w:rsidRPr="007F2BA2">
        <w:rPr>
          <w:lang w:val="en-GB"/>
        </w:rPr>
        <w:t>firefighters</w:t>
      </w:r>
      <w:proofErr w:type="spellEnd"/>
      <w:r w:rsidRPr="007F2BA2">
        <w:rPr>
          <w:lang w:val="en-GB"/>
        </w:rPr>
        <w:t xml:space="preserve">. </w:t>
      </w:r>
      <w:r w:rsidRPr="007F2BA2">
        <w:rPr>
          <w:i/>
          <w:lang w:val="en-GB"/>
        </w:rPr>
        <w:t xml:space="preserve">European journal of </w:t>
      </w:r>
      <w:proofErr w:type="spellStart"/>
      <w:r w:rsidRPr="007F2BA2">
        <w:rPr>
          <w:i/>
          <w:lang w:val="en-GB"/>
        </w:rPr>
        <w:t>psychotraumatology</w:t>
      </w:r>
      <w:proofErr w:type="spellEnd"/>
      <w:r w:rsidRPr="007F2BA2">
        <w:rPr>
          <w:i/>
          <w:lang w:val="en-GB"/>
        </w:rPr>
        <w:t>, 14</w:t>
      </w:r>
      <w:r w:rsidRPr="007F2BA2">
        <w:rPr>
          <w:lang w:val="en-GB"/>
        </w:rPr>
        <w:t>(1), 2159048.</w:t>
      </w:r>
    </w:p>
    <w:p w:rsidR="00000000" w:rsidRDefault="007F2BA2">
      <w:pPr>
        <w:pStyle w:val="Normalny1"/>
        <w:ind w:left="720" w:hanging="720"/>
        <w:jc w:val="both"/>
        <w:rPr>
          <w:lang w:val="en-GB"/>
        </w:rPr>
      </w:pPr>
      <w:r w:rsidRPr="007F2BA2">
        <w:rPr>
          <w:lang w:val="en-GB"/>
        </w:rPr>
        <w:t xml:space="preserve">Singh, J., </w:t>
      </w:r>
      <w:proofErr w:type="spellStart"/>
      <w:r w:rsidRPr="007F2BA2">
        <w:rPr>
          <w:lang w:val="en-GB"/>
        </w:rPr>
        <w:t>Karanika</w:t>
      </w:r>
      <w:proofErr w:type="spellEnd"/>
      <w:r w:rsidRPr="007F2BA2">
        <w:rPr>
          <w:lang w:val="en-GB"/>
        </w:rPr>
        <w:t xml:space="preserve">-Murray, M., </w:t>
      </w:r>
      <w:proofErr w:type="spellStart"/>
      <w:r w:rsidRPr="007F2BA2">
        <w:rPr>
          <w:lang w:val="en-GB"/>
        </w:rPr>
        <w:t>Baguley</w:t>
      </w:r>
      <w:proofErr w:type="spellEnd"/>
      <w:r w:rsidRPr="007F2BA2">
        <w:rPr>
          <w:lang w:val="en-GB"/>
        </w:rPr>
        <w:t>, T., Hudson, J. (2024). A psychometric evaluation of Professional Quality of Life Scale Version 5 (</w:t>
      </w:r>
      <w:proofErr w:type="spellStart"/>
      <w:r w:rsidRPr="007F2BA2">
        <w:rPr>
          <w:lang w:val="en-GB"/>
        </w:rPr>
        <w:t>ProQOL</w:t>
      </w:r>
      <w:proofErr w:type="spellEnd"/>
      <w:r w:rsidRPr="007F2BA2">
        <w:rPr>
          <w:lang w:val="en-GB"/>
        </w:rPr>
        <w:t xml:space="preserve"> 5) in a UK-based sample of allied mental health professionals. </w:t>
      </w:r>
      <w:r w:rsidRPr="007F2BA2">
        <w:rPr>
          <w:i/>
          <w:lang w:val="en-GB"/>
        </w:rPr>
        <w:t>Current Psychology</w:t>
      </w:r>
      <w:r w:rsidRPr="007F2BA2">
        <w:rPr>
          <w:lang w:val="en-GB"/>
        </w:rPr>
        <w:t xml:space="preserve">, </w:t>
      </w:r>
      <w:r w:rsidRPr="007F2BA2">
        <w:rPr>
          <w:i/>
          <w:lang w:val="en-GB"/>
        </w:rPr>
        <w:t>43</w:t>
      </w:r>
      <w:r w:rsidRPr="007F2BA2">
        <w:rPr>
          <w:lang w:val="en-GB"/>
        </w:rPr>
        <w:t>(25), 21615</w:t>
      </w:r>
      <w:r w:rsidRPr="007F2BA2">
        <w:rPr>
          <w:color w:val="000000"/>
          <w:lang w:val="en-GB"/>
        </w:rPr>
        <w:t>–</w:t>
      </w:r>
      <w:r w:rsidRPr="007F2BA2">
        <w:rPr>
          <w:lang w:val="en-GB"/>
        </w:rPr>
        <w:t>21629.</w:t>
      </w:r>
    </w:p>
    <w:p w:rsidR="00000000" w:rsidRDefault="007F2BA2">
      <w:pPr>
        <w:pStyle w:val="Normalny1"/>
        <w:ind w:left="720" w:hanging="720"/>
        <w:jc w:val="both"/>
      </w:pPr>
      <w:proofErr w:type="spellStart"/>
      <w:r w:rsidRPr="007F2BA2">
        <w:rPr>
          <w:lang w:val="en-GB"/>
        </w:rPr>
        <w:t>Skalski</w:t>
      </w:r>
      <w:proofErr w:type="spellEnd"/>
      <w:r w:rsidRPr="007F2BA2">
        <w:rPr>
          <w:lang w:val="en-GB"/>
        </w:rPr>
        <w:t xml:space="preserve">, S. (2016). </w:t>
      </w:r>
      <w:proofErr w:type="spellStart"/>
      <w:r w:rsidRPr="007F2BA2">
        <w:rPr>
          <w:lang w:val="en-GB"/>
        </w:rPr>
        <w:t>Polska</w:t>
      </w:r>
      <w:proofErr w:type="spellEnd"/>
      <w:r w:rsidRPr="007F2BA2">
        <w:rPr>
          <w:lang w:val="en-GB"/>
        </w:rPr>
        <w:t xml:space="preserve"> </w:t>
      </w:r>
      <w:proofErr w:type="spellStart"/>
      <w:r w:rsidRPr="007F2BA2">
        <w:rPr>
          <w:lang w:val="en-GB"/>
        </w:rPr>
        <w:t>adaptacja</w:t>
      </w:r>
      <w:proofErr w:type="spellEnd"/>
      <w:r w:rsidRPr="007F2BA2">
        <w:rPr>
          <w:lang w:val="en-GB"/>
        </w:rPr>
        <w:t xml:space="preserve"> Changes in Outlook Questionnaire – Short Form. </w:t>
      </w:r>
      <w:r w:rsidR="00882F43">
        <w:rPr>
          <w:i/>
        </w:rPr>
        <w:t xml:space="preserve">Psychiatria i Psychologia </w:t>
      </w:r>
      <w:r w:rsidR="00882F43">
        <w:rPr>
          <w:i/>
        </w:rPr>
        <w:t>Kliniczna, 16</w:t>
      </w:r>
      <w:r w:rsidR="00882F43">
        <w:t>(1), 19–28. </w:t>
      </w:r>
    </w:p>
    <w:p w:rsidR="00000000" w:rsidRDefault="00882F43">
      <w:pPr>
        <w:pStyle w:val="Normalny1"/>
        <w:ind w:left="720"/>
        <w:jc w:val="both"/>
      </w:pPr>
      <w:r>
        <w:t>https://doi.org/10.15557/PiPK.2016.0003</w:t>
      </w:r>
    </w:p>
    <w:p w:rsidR="00000000" w:rsidRDefault="00882F43">
      <w:pPr>
        <w:pStyle w:val="Normalny1"/>
        <w:ind w:left="720" w:hanging="720"/>
        <w:jc w:val="both"/>
        <w:rPr>
          <w:lang w:val="en-GB"/>
        </w:rPr>
      </w:pPr>
      <w:r>
        <w:t xml:space="preserve">Stamm, B. H. (2010). </w:t>
      </w:r>
      <w:r w:rsidR="007F2BA2" w:rsidRPr="007F2BA2">
        <w:rPr>
          <w:i/>
          <w:lang w:val="en-GB"/>
        </w:rPr>
        <w:t xml:space="preserve">The Concise </w:t>
      </w:r>
      <w:proofErr w:type="spellStart"/>
      <w:r w:rsidR="007F2BA2" w:rsidRPr="007F2BA2">
        <w:rPr>
          <w:i/>
          <w:lang w:val="en-GB"/>
        </w:rPr>
        <w:t>ProQOL</w:t>
      </w:r>
      <w:proofErr w:type="spellEnd"/>
      <w:r w:rsidR="007F2BA2" w:rsidRPr="007F2BA2">
        <w:rPr>
          <w:i/>
          <w:lang w:val="en-GB"/>
        </w:rPr>
        <w:t xml:space="preserve"> manual</w:t>
      </w:r>
      <w:r w:rsidR="007F2BA2" w:rsidRPr="007F2BA2">
        <w:rPr>
          <w:lang w:val="en-GB"/>
        </w:rPr>
        <w:t xml:space="preserve"> (2nd ed.). Pocatello, ID: ProQOL.org.</w:t>
      </w:r>
    </w:p>
    <w:p w:rsidR="00000000" w:rsidRDefault="007F2BA2">
      <w:pPr>
        <w:pStyle w:val="Normalny1"/>
        <w:ind w:left="720" w:hanging="720"/>
        <w:jc w:val="both"/>
        <w:rPr>
          <w:lang w:val="en-GB"/>
        </w:rPr>
      </w:pPr>
      <w:r w:rsidRPr="007F2BA2">
        <w:rPr>
          <w:lang w:val="en-GB"/>
        </w:rPr>
        <w:lastRenderedPageBreak/>
        <w:t xml:space="preserve">Sun, B., </w:t>
      </w:r>
      <w:proofErr w:type="spellStart"/>
      <w:r w:rsidRPr="007F2BA2">
        <w:rPr>
          <w:lang w:val="en-GB"/>
        </w:rPr>
        <w:t>Hu</w:t>
      </w:r>
      <w:proofErr w:type="spellEnd"/>
      <w:r w:rsidRPr="007F2BA2">
        <w:rPr>
          <w:lang w:val="en-GB"/>
        </w:rPr>
        <w:t xml:space="preserve">, M., Yu, S., Jiang, Y., Lou, B. (2016). Validation of the Compassion Fatigue Short Scale among Chinese medical workers and </w:t>
      </w:r>
      <w:proofErr w:type="spellStart"/>
      <w:r w:rsidRPr="007F2BA2">
        <w:rPr>
          <w:lang w:val="en-GB"/>
        </w:rPr>
        <w:t>firefighters</w:t>
      </w:r>
      <w:proofErr w:type="spellEnd"/>
      <w:r w:rsidRPr="007F2BA2">
        <w:rPr>
          <w:lang w:val="en-GB"/>
        </w:rPr>
        <w:t xml:space="preserve">: a cross-sectional study. </w:t>
      </w:r>
      <w:r w:rsidRPr="007F2BA2">
        <w:rPr>
          <w:i/>
          <w:lang w:val="en-GB"/>
        </w:rPr>
        <w:t>BMJ open</w:t>
      </w:r>
      <w:r w:rsidRPr="007F2BA2">
        <w:rPr>
          <w:lang w:val="en-GB"/>
        </w:rPr>
        <w:t xml:space="preserve">, </w:t>
      </w:r>
      <w:r w:rsidRPr="007F2BA2">
        <w:rPr>
          <w:i/>
          <w:lang w:val="en-GB"/>
        </w:rPr>
        <w:t>6</w:t>
      </w:r>
      <w:r w:rsidRPr="007F2BA2">
        <w:rPr>
          <w:lang w:val="en-GB"/>
        </w:rPr>
        <w:t>(6), e011279.</w:t>
      </w:r>
    </w:p>
    <w:p w:rsidR="00000000" w:rsidRDefault="007F2BA2">
      <w:pPr>
        <w:pStyle w:val="Normalny1"/>
        <w:ind w:left="720" w:hanging="720"/>
        <w:jc w:val="both"/>
        <w:rPr>
          <w:lang w:val="en-GB"/>
        </w:rPr>
      </w:pPr>
      <w:r w:rsidRPr="007F2BA2">
        <w:rPr>
          <w:lang w:val="en-GB"/>
        </w:rPr>
        <w:t>Tedeschi, R. G., Calhoun, L. G. (1996). The Posttraumatic Growth Inventory: Measuring the positive legacy of trauma. </w:t>
      </w:r>
      <w:r w:rsidRPr="007F2BA2">
        <w:rPr>
          <w:i/>
          <w:lang w:val="en-GB"/>
        </w:rPr>
        <w:t>Journal of Traumatic Stress, 9</w:t>
      </w:r>
      <w:r w:rsidRPr="007F2BA2">
        <w:rPr>
          <w:lang w:val="en-GB"/>
        </w:rPr>
        <w:t>(3), 455–471. </w:t>
      </w:r>
    </w:p>
    <w:p w:rsidR="00000000" w:rsidRDefault="007F2BA2">
      <w:pPr>
        <w:pStyle w:val="Normalny1"/>
        <w:ind w:left="720"/>
        <w:jc w:val="both"/>
        <w:rPr>
          <w:lang w:val="en-GB"/>
        </w:rPr>
      </w:pPr>
      <w:r w:rsidRPr="007F2BA2">
        <w:rPr>
          <w:lang w:val="en-GB"/>
        </w:rPr>
        <w:t>https://doi.org/10.1007/BF02103658</w:t>
      </w:r>
    </w:p>
    <w:p w:rsidR="00000000" w:rsidRDefault="007F2BA2">
      <w:pPr>
        <w:pStyle w:val="Normalny1"/>
        <w:ind w:left="720" w:hanging="720"/>
        <w:jc w:val="both"/>
        <w:rPr>
          <w:lang w:val="en-GB"/>
        </w:rPr>
      </w:pPr>
      <w:proofErr w:type="spellStart"/>
      <w:r w:rsidRPr="007F2BA2">
        <w:rPr>
          <w:lang w:val="en-GB"/>
        </w:rPr>
        <w:t>Tosone</w:t>
      </w:r>
      <w:proofErr w:type="spellEnd"/>
      <w:r w:rsidRPr="007F2BA2">
        <w:rPr>
          <w:lang w:val="en-GB"/>
        </w:rPr>
        <w:t xml:space="preserve">, C., </w:t>
      </w:r>
      <w:proofErr w:type="spellStart"/>
      <w:r w:rsidRPr="007F2BA2">
        <w:rPr>
          <w:lang w:val="en-GB"/>
        </w:rPr>
        <w:t>Bauwens</w:t>
      </w:r>
      <w:proofErr w:type="spellEnd"/>
      <w:r w:rsidRPr="007F2BA2">
        <w:rPr>
          <w:lang w:val="en-GB"/>
        </w:rPr>
        <w:t xml:space="preserve">, J., Glassman, M. (2016). The shared traumatic and professional posttraumatic growth inventory. </w:t>
      </w:r>
      <w:r w:rsidRPr="007F2BA2">
        <w:rPr>
          <w:i/>
          <w:lang w:val="en-GB"/>
        </w:rPr>
        <w:t>Research on Social Work Practice</w:t>
      </w:r>
      <w:r w:rsidRPr="007F2BA2">
        <w:rPr>
          <w:lang w:val="en-GB"/>
        </w:rPr>
        <w:t xml:space="preserve">, </w:t>
      </w:r>
      <w:r w:rsidRPr="007F2BA2">
        <w:rPr>
          <w:i/>
          <w:lang w:val="en-GB"/>
        </w:rPr>
        <w:t>26</w:t>
      </w:r>
      <w:r w:rsidRPr="007F2BA2">
        <w:rPr>
          <w:lang w:val="en-GB"/>
        </w:rPr>
        <w:t>(3), 286–294.</w:t>
      </w:r>
    </w:p>
    <w:p w:rsidR="00000000" w:rsidRDefault="007F2BA2">
      <w:pPr>
        <w:pStyle w:val="Normalny1"/>
        <w:ind w:left="720" w:hanging="720"/>
        <w:jc w:val="both"/>
      </w:pPr>
      <w:proofErr w:type="spellStart"/>
      <w:r w:rsidRPr="00145DC2">
        <w:t>Vrklevski</w:t>
      </w:r>
      <w:proofErr w:type="spellEnd"/>
      <w:r w:rsidRPr="00145DC2">
        <w:t xml:space="preserve">, L. P., Franklin, J. (2008). </w:t>
      </w:r>
      <w:r w:rsidRPr="007F2BA2">
        <w:rPr>
          <w:lang w:val="en-GB"/>
        </w:rPr>
        <w:t>Vicarious trauma: The impact on solicitors of exposure to traumatic material. </w:t>
      </w:r>
      <w:proofErr w:type="spellStart"/>
      <w:r w:rsidR="00882F43">
        <w:rPr>
          <w:i/>
        </w:rPr>
        <w:t>Traumatology</w:t>
      </w:r>
      <w:proofErr w:type="spellEnd"/>
      <w:r w:rsidR="00882F43">
        <w:rPr>
          <w:i/>
        </w:rPr>
        <w:t>, 14</w:t>
      </w:r>
      <w:r w:rsidR="00882F43">
        <w:t>(1), 106–118. </w:t>
      </w:r>
    </w:p>
    <w:p w:rsidR="00000000" w:rsidRDefault="00882F43">
      <w:pPr>
        <w:pStyle w:val="Normalny1"/>
        <w:ind w:left="720"/>
        <w:jc w:val="both"/>
      </w:pPr>
      <w:r>
        <w:t>https://doi.org/10.1177/1534765607309961</w:t>
      </w:r>
    </w:p>
    <w:p w:rsidR="00000000" w:rsidRDefault="00882F43">
      <w:pPr>
        <w:pStyle w:val="Normalny1"/>
        <w:ind w:left="720" w:hanging="720"/>
        <w:jc w:val="both"/>
        <w:rPr>
          <w:lang w:val="en-GB"/>
        </w:rPr>
      </w:pPr>
      <w:proofErr w:type="spellStart"/>
      <w:r>
        <w:t>Vacca</w:t>
      </w:r>
      <w:proofErr w:type="spellEnd"/>
      <w:r>
        <w:t xml:space="preserve">, A., </w:t>
      </w:r>
      <w:proofErr w:type="spellStart"/>
      <w:r>
        <w:t>Minò</w:t>
      </w:r>
      <w:proofErr w:type="spellEnd"/>
      <w:r>
        <w:t xml:space="preserve">, M. V., </w:t>
      </w:r>
      <w:proofErr w:type="spellStart"/>
      <w:r>
        <w:t>Longo</w:t>
      </w:r>
      <w:proofErr w:type="spellEnd"/>
      <w:r>
        <w:t xml:space="preserve">, R., </w:t>
      </w:r>
      <w:proofErr w:type="spellStart"/>
      <w:r>
        <w:t>Lucisani</w:t>
      </w:r>
      <w:proofErr w:type="spellEnd"/>
      <w:r>
        <w:t xml:space="preserve">, G., </w:t>
      </w:r>
      <w:proofErr w:type="spellStart"/>
      <w:r>
        <w:t>Solomita</w:t>
      </w:r>
      <w:proofErr w:type="spellEnd"/>
      <w:r>
        <w:t xml:space="preserve">, B., Franza, F. (2023). </w:t>
      </w:r>
      <w:r w:rsidR="007F2BA2" w:rsidRPr="007F2BA2">
        <w:rPr>
          <w:lang w:val="en-GB"/>
        </w:rPr>
        <w:t>The emotional impact on mental health workers in the care of patients with mental disorders in the pandemic and post COVID-19 pandemic: a measure of ‘</w:t>
      </w:r>
      <w:proofErr w:type="spellStart"/>
      <w:r w:rsidR="007F2BA2" w:rsidRPr="007F2BA2">
        <w:rPr>
          <w:lang w:val="en-GB"/>
        </w:rPr>
        <w:t>Burnout’and</w:t>
      </w:r>
      <w:proofErr w:type="spellEnd"/>
      <w:r w:rsidR="007F2BA2" w:rsidRPr="007F2BA2">
        <w:rPr>
          <w:lang w:val="en-GB"/>
        </w:rPr>
        <w:t xml:space="preserve"> ‘Compassion Fatigue’. </w:t>
      </w:r>
      <w:proofErr w:type="spellStart"/>
      <w:r w:rsidR="007F2BA2" w:rsidRPr="007F2BA2">
        <w:rPr>
          <w:i/>
          <w:lang w:val="en-GB"/>
        </w:rPr>
        <w:t>Psychiatr</w:t>
      </w:r>
      <w:proofErr w:type="spellEnd"/>
      <w:r w:rsidR="007F2BA2" w:rsidRPr="007F2BA2">
        <w:rPr>
          <w:i/>
          <w:lang w:val="en-GB"/>
        </w:rPr>
        <w:t xml:space="preserve"> </w:t>
      </w:r>
      <w:proofErr w:type="spellStart"/>
      <w:r w:rsidR="007F2BA2" w:rsidRPr="007F2BA2">
        <w:rPr>
          <w:i/>
          <w:lang w:val="en-GB"/>
        </w:rPr>
        <w:t>Danub</w:t>
      </w:r>
      <w:proofErr w:type="spellEnd"/>
      <w:r w:rsidR="007F2BA2" w:rsidRPr="007F2BA2">
        <w:rPr>
          <w:lang w:val="en-GB"/>
        </w:rPr>
        <w:t xml:space="preserve">, </w:t>
      </w:r>
      <w:r w:rsidR="007F2BA2" w:rsidRPr="007F2BA2">
        <w:rPr>
          <w:i/>
          <w:lang w:val="en-GB"/>
        </w:rPr>
        <w:t>35</w:t>
      </w:r>
      <w:r w:rsidR="007F2BA2" w:rsidRPr="007F2BA2">
        <w:rPr>
          <w:lang w:val="en-GB"/>
        </w:rPr>
        <w:t>(</w:t>
      </w:r>
      <w:proofErr w:type="spellStart"/>
      <w:r w:rsidR="007F2BA2" w:rsidRPr="007F2BA2">
        <w:rPr>
          <w:lang w:val="en-GB"/>
        </w:rPr>
        <w:t>Suppl</w:t>
      </w:r>
      <w:proofErr w:type="spellEnd"/>
      <w:r w:rsidR="007F2BA2" w:rsidRPr="007F2BA2">
        <w:rPr>
          <w:lang w:val="en-GB"/>
        </w:rPr>
        <w:t xml:space="preserve"> 2), S292–295.</w:t>
      </w:r>
    </w:p>
    <w:p w:rsidR="00000000" w:rsidRDefault="007F2BA2">
      <w:pPr>
        <w:pStyle w:val="Normalny1"/>
        <w:ind w:left="720" w:hanging="720"/>
        <w:jc w:val="both"/>
        <w:rPr>
          <w:lang w:val="en-GB"/>
        </w:rPr>
      </w:pPr>
      <w:r w:rsidRPr="007F2BA2">
        <w:rPr>
          <w:lang w:val="en-GB"/>
        </w:rPr>
        <w:t xml:space="preserve">Weiss, D. S., </w:t>
      </w:r>
      <w:proofErr w:type="spellStart"/>
      <w:r w:rsidRPr="007F2BA2">
        <w:rPr>
          <w:lang w:val="en-GB"/>
        </w:rPr>
        <w:t>Marmar</w:t>
      </w:r>
      <w:proofErr w:type="spellEnd"/>
      <w:r w:rsidRPr="007F2BA2">
        <w:rPr>
          <w:lang w:val="en-GB"/>
        </w:rPr>
        <w:t>, C. R. (1997). The Impact of Event Scale-Revised. W: J. P. Wilson i T. M. Keane (red.), </w:t>
      </w:r>
      <w:r w:rsidRPr="007F2BA2">
        <w:rPr>
          <w:i/>
          <w:lang w:val="en-GB"/>
        </w:rPr>
        <w:t>Assessing psychological trauma and PTSD</w:t>
      </w:r>
      <w:r w:rsidRPr="007F2BA2">
        <w:rPr>
          <w:lang w:val="en-GB"/>
        </w:rPr>
        <w:t> (s. 399–411). Guilford Press.</w:t>
      </w:r>
    </w:p>
    <w:p w:rsidR="00000000" w:rsidRDefault="007F2BA2">
      <w:pPr>
        <w:pStyle w:val="Normalny1"/>
        <w:ind w:left="720" w:hanging="720"/>
        <w:jc w:val="both"/>
        <w:rPr>
          <w:lang w:val="en-GB"/>
        </w:rPr>
      </w:pPr>
      <w:proofErr w:type="spellStart"/>
      <w:r w:rsidRPr="007F2BA2">
        <w:rPr>
          <w:lang w:val="en-GB"/>
        </w:rPr>
        <w:t>Yaakubov</w:t>
      </w:r>
      <w:proofErr w:type="spellEnd"/>
      <w:r w:rsidRPr="007F2BA2">
        <w:rPr>
          <w:lang w:val="en-GB"/>
        </w:rPr>
        <w:t xml:space="preserve">, L., Hoffman, Y., </w:t>
      </w:r>
      <w:proofErr w:type="spellStart"/>
      <w:r w:rsidRPr="007F2BA2">
        <w:rPr>
          <w:lang w:val="en-GB"/>
        </w:rPr>
        <w:t>Rosenbloom</w:t>
      </w:r>
      <w:proofErr w:type="spellEnd"/>
      <w:r w:rsidRPr="007F2BA2">
        <w:rPr>
          <w:lang w:val="en-GB"/>
        </w:rPr>
        <w:t xml:space="preserve">, T. (2020). Secondary traumatic stress, vicarious posttraumatic growth and their association in emergency room physicians and nurses. </w:t>
      </w:r>
      <w:r w:rsidRPr="007F2BA2">
        <w:rPr>
          <w:i/>
          <w:lang w:val="en-GB"/>
        </w:rPr>
        <w:t xml:space="preserve">European Journal of </w:t>
      </w:r>
      <w:proofErr w:type="spellStart"/>
      <w:r w:rsidRPr="007F2BA2">
        <w:rPr>
          <w:i/>
          <w:lang w:val="en-GB"/>
        </w:rPr>
        <w:t>Psychotraumatology</w:t>
      </w:r>
      <w:proofErr w:type="spellEnd"/>
      <w:r w:rsidRPr="007F2BA2">
        <w:rPr>
          <w:lang w:val="en-GB"/>
        </w:rPr>
        <w:t xml:space="preserve">, </w:t>
      </w:r>
      <w:r w:rsidRPr="007F2BA2">
        <w:rPr>
          <w:i/>
          <w:lang w:val="en-GB"/>
        </w:rPr>
        <w:t>11</w:t>
      </w:r>
      <w:r w:rsidRPr="007F2BA2">
        <w:rPr>
          <w:lang w:val="en-GB"/>
        </w:rPr>
        <w:t>(1), 1830462.</w:t>
      </w:r>
    </w:p>
    <w:p w:rsidR="00000000" w:rsidRDefault="007F2BA2">
      <w:pPr>
        <w:pStyle w:val="Normalny1"/>
        <w:ind w:left="720" w:hanging="720"/>
        <w:jc w:val="both"/>
      </w:pPr>
      <w:r w:rsidRPr="007F2BA2">
        <w:rPr>
          <w:lang w:val="en-GB"/>
        </w:rPr>
        <w:t xml:space="preserve">Yan, Y. J., Jiang, L., </w:t>
      </w:r>
      <w:proofErr w:type="spellStart"/>
      <w:r w:rsidRPr="007F2BA2">
        <w:rPr>
          <w:lang w:val="en-GB"/>
        </w:rPr>
        <w:t>Hu</w:t>
      </w:r>
      <w:proofErr w:type="spellEnd"/>
      <w:r w:rsidRPr="007F2BA2">
        <w:rPr>
          <w:lang w:val="en-GB"/>
        </w:rPr>
        <w:t xml:space="preserve">, M. L., Wang, L., </w:t>
      </w:r>
      <w:proofErr w:type="spellStart"/>
      <w:r w:rsidRPr="007F2BA2">
        <w:rPr>
          <w:lang w:val="en-GB"/>
        </w:rPr>
        <w:t>Xu</w:t>
      </w:r>
      <w:proofErr w:type="spellEnd"/>
      <w:r w:rsidRPr="007F2BA2">
        <w:rPr>
          <w:lang w:val="en-GB"/>
        </w:rPr>
        <w:t xml:space="preserve">, X., Jin, Z. S., ... &amp; Xiao, T. (2020). Psychometric properties of a simplified Chinese version of the secondary Trauma Questionnaire in a potentially traumatized study sample. </w:t>
      </w:r>
      <w:proofErr w:type="spellStart"/>
      <w:r w:rsidR="00882F43">
        <w:rPr>
          <w:i/>
        </w:rPr>
        <w:t>Frontiers</w:t>
      </w:r>
      <w:proofErr w:type="spellEnd"/>
      <w:r w:rsidR="00882F43">
        <w:rPr>
          <w:i/>
        </w:rPr>
        <w:t xml:space="preserve"> </w:t>
      </w:r>
      <w:proofErr w:type="spellStart"/>
      <w:r w:rsidR="00882F43">
        <w:rPr>
          <w:i/>
        </w:rPr>
        <w:t>in</w:t>
      </w:r>
      <w:proofErr w:type="spellEnd"/>
      <w:r w:rsidR="00882F43">
        <w:rPr>
          <w:i/>
        </w:rPr>
        <w:t xml:space="preserve"> </w:t>
      </w:r>
      <w:proofErr w:type="spellStart"/>
      <w:r w:rsidR="00882F43">
        <w:rPr>
          <w:i/>
        </w:rPr>
        <w:t>psychology</w:t>
      </w:r>
      <w:proofErr w:type="spellEnd"/>
      <w:r w:rsidR="00882F43">
        <w:t xml:space="preserve">, </w:t>
      </w:r>
      <w:r w:rsidR="00882F43">
        <w:rPr>
          <w:i/>
        </w:rPr>
        <w:t>11</w:t>
      </w:r>
      <w:r w:rsidR="00882F43">
        <w:t>, 767</w:t>
      </w:r>
      <w:r w:rsidR="00882F43">
        <w:t>.</w:t>
      </w:r>
    </w:p>
    <w:p w:rsidR="001B38F9" w:rsidRDefault="00882F43" w:rsidP="005279AE">
      <w:pPr>
        <w:pStyle w:val="Normalny1"/>
        <w:ind w:left="720" w:hanging="720"/>
        <w:jc w:val="both"/>
      </w:pPr>
      <w:r>
        <w:t xml:space="preserve">Załuski, M., </w:t>
      </w:r>
      <w:proofErr w:type="spellStart"/>
      <w:r>
        <w:t>Gajdosz</w:t>
      </w:r>
      <w:proofErr w:type="spellEnd"/>
      <w:r>
        <w:t>, M. (2016). Polska adaptacja Skali Założeń wobec Świata (</w:t>
      </w:r>
      <w:proofErr w:type="spellStart"/>
      <w:r>
        <w:t>World</w:t>
      </w:r>
      <w:proofErr w:type="spellEnd"/>
      <w:r>
        <w:t xml:space="preserve"> </w:t>
      </w:r>
      <w:proofErr w:type="spellStart"/>
      <w:r>
        <w:t>Assumptions</w:t>
      </w:r>
      <w:proofErr w:type="spellEnd"/>
      <w:r>
        <w:t xml:space="preserve"> </w:t>
      </w:r>
      <w:proofErr w:type="spellStart"/>
      <w:r>
        <w:t>Scale</w:t>
      </w:r>
      <w:proofErr w:type="spellEnd"/>
      <w:r>
        <w:t>). </w:t>
      </w:r>
      <w:r>
        <w:rPr>
          <w:i/>
        </w:rPr>
        <w:t>Psychiatria Polska, 50</w:t>
      </w:r>
      <w:r>
        <w:t>(4), 901–912. </w:t>
      </w:r>
    </w:p>
    <w:p w:rsidR="00000000" w:rsidRDefault="00882F43">
      <w:pPr>
        <w:pStyle w:val="Normalny1"/>
        <w:ind w:left="720"/>
        <w:jc w:val="both"/>
      </w:pPr>
      <w:r>
        <w:t>https://doi.org/10.12740/PP/46459</w:t>
      </w:r>
    </w:p>
    <w:p w:rsidR="00000000" w:rsidRDefault="00882F43">
      <w:pPr>
        <w:pStyle w:val="Normalny1"/>
        <w:ind w:left="720" w:hanging="720"/>
        <w:jc w:val="both"/>
      </w:pPr>
      <w:proofErr w:type="spellStart"/>
      <w:r w:rsidRPr="001B38F9">
        <w:t>Zeng</w:t>
      </w:r>
      <w:proofErr w:type="spellEnd"/>
      <w:r w:rsidRPr="001B38F9">
        <w:t xml:space="preserve">, L., </w:t>
      </w:r>
      <w:proofErr w:type="spellStart"/>
      <w:r w:rsidRPr="001B38F9">
        <w:t>Wang</w:t>
      </w:r>
      <w:proofErr w:type="spellEnd"/>
      <w:r w:rsidRPr="001B38F9">
        <w:t xml:space="preserve">, J., </w:t>
      </w:r>
      <w:proofErr w:type="spellStart"/>
      <w:r w:rsidRPr="001B38F9">
        <w:t>Liu</w:t>
      </w:r>
      <w:proofErr w:type="spellEnd"/>
      <w:r w:rsidRPr="001B38F9">
        <w:t xml:space="preserve">, G., </w:t>
      </w:r>
      <w:proofErr w:type="spellStart"/>
      <w:r w:rsidRPr="001B38F9">
        <w:t>Yuan</w:t>
      </w:r>
      <w:proofErr w:type="spellEnd"/>
      <w:r w:rsidRPr="001B38F9">
        <w:t xml:space="preserve">, Z., Yang, F., </w:t>
      </w:r>
      <w:proofErr w:type="spellStart"/>
      <w:r w:rsidRPr="001B38F9">
        <w:t>Liu</w:t>
      </w:r>
      <w:proofErr w:type="spellEnd"/>
      <w:r w:rsidRPr="001B38F9">
        <w:t xml:space="preserve">, D., ... </w:t>
      </w:r>
      <w:r w:rsidR="007F2BA2" w:rsidRPr="007F2BA2">
        <w:rPr>
          <w:lang w:val="en-GB"/>
        </w:rPr>
        <w:t xml:space="preserve">&amp; </w:t>
      </w:r>
      <w:proofErr w:type="spellStart"/>
      <w:r w:rsidR="007F2BA2" w:rsidRPr="007F2BA2">
        <w:rPr>
          <w:lang w:val="en-GB"/>
        </w:rPr>
        <w:t>Peng</w:t>
      </w:r>
      <w:proofErr w:type="spellEnd"/>
      <w:r w:rsidR="007F2BA2" w:rsidRPr="007F2BA2">
        <w:rPr>
          <w:lang w:val="en-GB"/>
        </w:rPr>
        <w:t xml:space="preserve">, Y. (2024). The prevalence and factors of posttraumatic growth among nurses based on the PTGI: A systematic review and meta‐analysis. </w:t>
      </w:r>
      <w:r w:rsidRPr="001B38F9">
        <w:rPr>
          <w:i/>
        </w:rPr>
        <w:t xml:space="preserve">International </w:t>
      </w:r>
      <w:proofErr w:type="spellStart"/>
      <w:r w:rsidRPr="001B38F9">
        <w:rPr>
          <w:i/>
        </w:rPr>
        <w:t>nursing</w:t>
      </w:r>
      <w:proofErr w:type="spellEnd"/>
      <w:r w:rsidRPr="001B38F9">
        <w:rPr>
          <w:i/>
        </w:rPr>
        <w:t xml:space="preserve"> </w:t>
      </w:r>
      <w:proofErr w:type="spellStart"/>
      <w:r w:rsidRPr="001B38F9">
        <w:rPr>
          <w:i/>
        </w:rPr>
        <w:t>review</w:t>
      </w:r>
      <w:proofErr w:type="spellEnd"/>
      <w:r w:rsidRPr="001B38F9">
        <w:t xml:space="preserve">, </w:t>
      </w:r>
      <w:r w:rsidRPr="001B38F9">
        <w:rPr>
          <w:i/>
        </w:rPr>
        <w:t>71</w:t>
      </w:r>
      <w:r w:rsidRPr="001B38F9">
        <w:t>(3), 531–540.</w:t>
      </w:r>
    </w:p>
    <w:p w:rsidR="001B38F9" w:rsidRDefault="001B38F9">
      <w:pPr>
        <w:spacing w:before="240"/>
        <w:contextualSpacing/>
        <w:rPr>
          <w:rFonts w:eastAsia="Calibri"/>
          <w:kern w:val="2"/>
          <w:lang w:eastAsia="en-US"/>
        </w:rPr>
      </w:pPr>
    </w:p>
    <w:p w:rsidR="001B38F9" w:rsidRDefault="001B38F9">
      <w:pPr>
        <w:spacing w:before="240"/>
        <w:contextualSpacing/>
        <w:rPr>
          <w:rFonts w:eastAsia="Calibri"/>
          <w:kern w:val="2"/>
          <w:lang w:eastAsia="en-US"/>
        </w:rPr>
      </w:pPr>
    </w:p>
    <w:p w:rsidR="00000000" w:rsidRDefault="00CF3728">
      <w:pPr>
        <w:spacing w:before="240"/>
        <w:contextualSpacing/>
        <w:rPr>
          <w:rFonts w:eastAsia="Calibri"/>
          <w:kern w:val="2"/>
          <w:lang w:eastAsia="en-US"/>
        </w:rPr>
      </w:pPr>
      <w:r w:rsidRPr="00CF3728">
        <w:rPr>
          <w:rFonts w:eastAsia="Calibri"/>
          <w:kern w:val="2"/>
          <w:lang w:eastAsia="en-US"/>
        </w:rPr>
        <w:lastRenderedPageBreak/>
        <w:t>Data wpłynięcia: 2 września 2025</w:t>
      </w:r>
    </w:p>
    <w:p w:rsidR="00000000" w:rsidRDefault="00CF3728">
      <w:pPr>
        <w:contextualSpacing/>
        <w:rPr>
          <w:rFonts w:eastAsia="Calibri"/>
          <w:kern w:val="2"/>
          <w:lang w:eastAsia="en-US"/>
        </w:rPr>
      </w:pPr>
      <w:r w:rsidRPr="00CF3728">
        <w:rPr>
          <w:rFonts w:eastAsia="Calibri"/>
          <w:kern w:val="2"/>
          <w:lang w:eastAsia="en-US"/>
        </w:rPr>
        <w:t>Data wpłynięcia po poprawkach: 18 listopada 2025</w:t>
      </w:r>
    </w:p>
    <w:p w:rsidR="00000000" w:rsidRDefault="00CF3728">
      <w:pPr>
        <w:contextualSpacing/>
        <w:rPr>
          <w:rFonts w:eastAsia="Calibri"/>
          <w:kern w:val="2"/>
          <w:lang w:eastAsia="en-US"/>
        </w:rPr>
      </w:pPr>
      <w:r w:rsidRPr="00CF3728">
        <w:rPr>
          <w:rFonts w:eastAsia="Calibri"/>
          <w:kern w:val="2"/>
          <w:lang w:eastAsia="en-US"/>
        </w:rPr>
        <w:t>Data zatwierdzenia tekstu do druku: 2 grudnia 2025</w:t>
      </w:r>
    </w:p>
    <w:p w:rsidR="002B121C" w:rsidRPr="00CF3728" w:rsidRDefault="002B121C">
      <w:pPr>
        <w:pStyle w:val="Normalny1"/>
      </w:pPr>
    </w:p>
    <w:sectPr w:rsidR="002B121C" w:rsidRPr="00CF3728" w:rsidSect="007F2BA2">
      <w:footerReference w:type="default" r:id="rId9"/>
      <w:pgSz w:w="11906" w:h="16838"/>
      <w:pgMar w:top="1440" w:right="1440" w:bottom="1440" w:left="1440" w:header="708" w:footer="708" w:gutter="0"/>
      <w:pgNumType w:start="1"/>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76B74C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B02755E" w16cex:dateUtc="2026-08-26T10: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76B74C9" w16cid:durableId="5B02755E"/>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2F43" w:rsidRDefault="00882F43">
      <w:pPr>
        <w:spacing w:line="240" w:lineRule="auto"/>
      </w:pPr>
      <w:r>
        <w:separator/>
      </w:r>
    </w:p>
  </w:endnote>
  <w:endnote w:type="continuationSeparator" w:id="0">
    <w:p w:rsidR="00882F43" w:rsidRDefault="00882F4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等线 Light">
    <w:panose1 w:val="00000000000000000000"/>
    <w:charset w:val="80"/>
    <w:family w:val="roman"/>
    <w:notTrueType/>
    <w:pitch w:val="default"/>
    <w:sig w:usb0="00000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等线">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21C" w:rsidRDefault="007F2BA2">
    <w:pPr>
      <w:pStyle w:val="Normalny1"/>
      <w:tabs>
        <w:tab w:val="center" w:pos="4513"/>
        <w:tab w:val="right" w:pos="9026"/>
      </w:tabs>
      <w:spacing w:line="240" w:lineRule="auto"/>
      <w:rPr>
        <w:color w:val="000000"/>
      </w:rPr>
    </w:pPr>
    <w:r w:rsidRPr="007F2BA2">
      <w:rPr>
        <w:noProof/>
      </w:rPr>
      <w:pict>
        <v:shapetype id="_x0000_t202" coordsize="21600,21600" o:spt="202" path="m,l,21600r21600,l21600,xe">
          <v:stroke joinstyle="miter"/>
          <v:path gradientshapeok="t" o:connecttype="rect"/>
        </v:shapetype>
        <v:shape id="Pole tekstowe 1" o:spid="_x0000_s2049" type="#_x0000_t202" style="position:absolute;margin-left:196.8pt;margin-top:0;width:2in;height:2in;z-index:251659264;visibility:visible;mso-wrap-style:none;mso-position-horizontal:righ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rsidR="002B121C" w:rsidRDefault="007F2BA2">
                <w:pPr>
                  <w:pStyle w:val="Stopka"/>
                </w:pPr>
                <w:r>
                  <w:fldChar w:fldCharType="begin"/>
                </w:r>
                <w:r w:rsidR="00882F43">
                  <w:instrText xml:space="preserve"> PAGE  \* MERGEFORMAT </w:instrText>
                </w:r>
                <w:r>
                  <w:fldChar w:fldCharType="separate"/>
                </w:r>
                <w:r w:rsidR="001700AD">
                  <w:rPr>
                    <w:noProof/>
                  </w:rPr>
                  <w:t>26</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2F43" w:rsidRDefault="00882F43">
      <w:r>
        <w:separator/>
      </w:r>
    </w:p>
  </w:footnote>
  <w:footnote w:type="continuationSeparator" w:id="0">
    <w:p w:rsidR="00882F43" w:rsidRDefault="00882F43">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ia Lewandowska">
    <w15:presenceInfo w15:providerId="Windows Live" w15:userId="fe9aae3fbfd4a8ad"/>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trackRevisions/>
  <w:defaultTabStop w:val="720"/>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DA61D5"/>
    <w:rsid w:val="00070DBB"/>
    <w:rsid w:val="000E0363"/>
    <w:rsid w:val="00145DC2"/>
    <w:rsid w:val="001700AD"/>
    <w:rsid w:val="001A1B6E"/>
    <w:rsid w:val="001B38F9"/>
    <w:rsid w:val="002B121C"/>
    <w:rsid w:val="002D6941"/>
    <w:rsid w:val="00472B24"/>
    <w:rsid w:val="004D758C"/>
    <w:rsid w:val="005279AE"/>
    <w:rsid w:val="00562B16"/>
    <w:rsid w:val="005C7F87"/>
    <w:rsid w:val="00720E04"/>
    <w:rsid w:val="007F2BA2"/>
    <w:rsid w:val="008468CD"/>
    <w:rsid w:val="00882F43"/>
    <w:rsid w:val="008D66ED"/>
    <w:rsid w:val="0093041B"/>
    <w:rsid w:val="009452D0"/>
    <w:rsid w:val="009904BC"/>
    <w:rsid w:val="00A4209D"/>
    <w:rsid w:val="00AB516D"/>
    <w:rsid w:val="00B12CA9"/>
    <w:rsid w:val="00C725D1"/>
    <w:rsid w:val="00CF3728"/>
    <w:rsid w:val="00D058CA"/>
    <w:rsid w:val="00D235E7"/>
    <w:rsid w:val="00D7136F"/>
    <w:rsid w:val="00DA61D5"/>
    <w:rsid w:val="00DB022F"/>
    <w:rsid w:val="00FA3D1A"/>
    <w:rsid w:val="03151C1F"/>
    <w:rsid w:val="10BA53FD"/>
    <w:rsid w:val="12964D0E"/>
    <w:rsid w:val="16F10DB0"/>
    <w:rsid w:val="17BA627B"/>
    <w:rsid w:val="19D20E68"/>
    <w:rsid w:val="29FF3178"/>
    <w:rsid w:val="31E651EC"/>
    <w:rsid w:val="378D6D31"/>
    <w:rsid w:val="45295484"/>
    <w:rsid w:val="47EE4D13"/>
    <w:rsid w:val="489E3831"/>
    <w:rsid w:val="51E376DE"/>
    <w:rsid w:val="52E72E92"/>
    <w:rsid w:val="54EE1F62"/>
    <w:rsid w:val="58782833"/>
    <w:rsid w:val="58BD1CA3"/>
    <w:rsid w:val="5CD5073D"/>
    <w:rsid w:val="6B046820"/>
    <w:rsid w:val="7B67578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0" w:unhideWhenUsed="0" w:qFormat="1"/>
    <w:lsdException w:name="Default Paragraph Font" w:uiPriority="1" w:qFormat="1"/>
    <w:lsdException w:name="Body Text" w:semiHidden="0" w:qFormat="1"/>
    <w:lsdException w:name="Subtitle" w:semiHidden="0" w:uiPriority="0" w:unhideWhenUsed="0" w:qFormat="1"/>
    <w:lsdException w:name="Hyperlink"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F2BA2"/>
    <w:pPr>
      <w:spacing w:line="360" w:lineRule="auto"/>
    </w:pPr>
    <w:rPr>
      <w:sz w:val="24"/>
      <w:szCs w:val="24"/>
    </w:rPr>
  </w:style>
  <w:style w:type="paragraph" w:styleId="Nagwek1">
    <w:name w:val="heading 1"/>
    <w:basedOn w:val="Normalny1"/>
    <w:next w:val="Normalny1"/>
    <w:qFormat/>
    <w:rsid w:val="007F2BA2"/>
    <w:pPr>
      <w:keepNext/>
      <w:keepLines/>
      <w:spacing w:before="360" w:after="80"/>
      <w:outlineLvl w:val="0"/>
    </w:pPr>
    <w:rPr>
      <w:rFonts w:ascii="Calibri" w:eastAsia="Calibri" w:hAnsi="Calibri" w:cs="Calibri"/>
      <w:color w:val="2F5496"/>
      <w:sz w:val="40"/>
      <w:szCs w:val="40"/>
    </w:rPr>
  </w:style>
  <w:style w:type="paragraph" w:styleId="Nagwek2">
    <w:name w:val="heading 2"/>
    <w:basedOn w:val="Normalny1"/>
    <w:next w:val="Normalny1"/>
    <w:qFormat/>
    <w:rsid w:val="007F2BA2"/>
    <w:pPr>
      <w:keepNext/>
      <w:keepLines/>
      <w:spacing w:before="160" w:after="80"/>
      <w:outlineLvl w:val="1"/>
    </w:pPr>
    <w:rPr>
      <w:rFonts w:ascii="Calibri" w:eastAsia="Calibri" w:hAnsi="Calibri" w:cs="Calibri"/>
      <w:color w:val="2F5496"/>
      <w:sz w:val="32"/>
      <w:szCs w:val="32"/>
    </w:rPr>
  </w:style>
  <w:style w:type="paragraph" w:styleId="Nagwek3">
    <w:name w:val="heading 3"/>
    <w:basedOn w:val="Normalny1"/>
    <w:next w:val="Normalny1"/>
    <w:qFormat/>
    <w:rsid w:val="007F2BA2"/>
    <w:pPr>
      <w:keepNext/>
      <w:keepLines/>
      <w:spacing w:before="160" w:after="80"/>
      <w:outlineLvl w:val="2"/>
    </w:pPr>
    <w:rPr>
      <w:rFonts w:ascii="Calibri" w:eastAsia="Calibri" w:hAnsi="Calibri" w:cs="Calibri"/>
      <w:color w:val="2F5496"/>
      <w:sz w:val="28"/>
      <w:szCs w:val="28"/>
    </w:rPr>
  </w:style>
  <w:style w:type="paragraph" w:styleId="Nagwek4">
    <w:name w:val="heading 4"/>
    <w:basedOn w:val="Normalny1"/>
    <w:next w:val="Normalny1"/>
    <w:qFormat/>
    <w:rsid w:val="007F2BA2"/>
    <w:pPr>
      <w:keepNext/>
      <w:keepLines/>
      <w:spacing w:before="80" w:after="40"/>
      <w:outlineLvl w:val="3"/>
    </w:pPr>
    <w:rPr>
      <w:rFonts w:ascii="Calibri" w:eastAsia="Calibri" w:hAnsi="Calibri" w:cs="Calibri"/>
      <w:i/>
      <w:color w:val="2F5496"/>
    </w:rPr>
  </w:style>
  <w:style w:type="paragraph" w:styleId="Nagwek5">
    <w:name w:val="heading 5"/>
    <w:basedOn w:val="Normalny1"/>
    <w:next w:val="Normalny1"/>
    <w:qFormat/>
    <w:rsid w:val="007F2BA2"/>
    <w:pPr>
      <w:keepNext/>
      <w:keepLines/>
      <w:spacing w:before="80" w:after="40"/>
      <w:outlineLvl w:val="4"/>
    </w:pPr>
    <w:rPr>
      <w:rFonts w:ascii="Calibri" w:eastAsia="Calibri" w:hAnsi="Calibri" w:cs="Calibri"/>
      <w:color w:val="2F5496"/>
    </w:rPr>
  </w:style>
  <w:style w:type="paragraph" w:styleId="Nagwek6">
    <w:name w:val="heading 6"/>
    <w:basedOn w:val="Normalny1"/>
    <w:next w:val="Normalny1"/>
    <w:qFormat/>
    <w:rsid w:val="007F2BA2"/>
    <w:pPr>
      <w:keepNext/>
      <w:keepLines/>
      <w:spacing w:before="40"/>
      <w:outlineLvl w:val="5"/>
    </w:pPr>
    <w:rPr>
      <w:rFonts w:ascii="Calibri" w:eastAsia="Calibri" w:hAnsi="Calibri" w:cs="Calibri"/>
      <w:i/>
      <w:color w:val="595959"/>
    </w:rPr>
  </w:style>
  <w:style w:type="paragraph" w:styleId="Nagwek7">
    <w:name w:val="heading 7"/>
    <w:link w:val="Nagwek7Znak"/>
    <w:uiPriority w:val="9"/>
    <w:semiHidden/>
    <w:unhideWhenUsed/>
    <w:qFormat/>
    <w:rsid w:val="007F2BA2"/>
    <w:pPr>
      <w:keepNext/>
      <w:keepLines/>
      <w:spacing w:before="40" w:line="360" w:lineRule="auto"/>
      <w:outlineLvl w:val="6"/>
    </w:pPr>
    <w:rPr>
      <w:rFonts w:asciiTheme="minorHAnsi" w:eastAsiaTheme="majorEastAsia" w:hAnsiTheme="minorHAnsi" w:cstheme="majorBidi"/>
      <w:color w:val="595959" w:themeColor="text1" w:themeTint="A6"/>
      <w:sz w:val="24"/>
      <w:szCs w:val="24"/>
    </w:rPr>
  </w:style>
  <w:style w:type="paragraph" w:styleId="Nagwek8">
    <w:name w:val="heading 8"/>
    <w:link w:val="Nagwek8Znak"/>
    <w:uiPriority w:val="9"/>
    <w:semiHidden/>
    <w:unhideWhenUsed/>
    <w:qFormat/>
    <w:rsid w:val="007F2BA2"/>
    <w:pPr>
      <w:keepNext/>
      <w:keepLines/>
      <w:spacing w:line="360" w:lineRule="auto"/>
      <w:outlineLvl w:val="7"/>
    </w:pPr>
    <w:rPr>
      <w:rFonts w:asciiTheme="minorHAnsi" w:eastAsiaTheme="majorEastAsia" w:hAnsiTheme="minorHAnsi" w:cstheme="majorBidi"/>
      <w:i/>
      <w:iCs/>
      <w:color w:val="262626" w:themeColor="text1" w:themeTint="D9"/>
      <w:sz w:val="24"/>
      <w:szCs w:val="24"/>
    </w:rPr>
  </w:style>
  <w:style w:type="paragraph" w:styleId="Nagwek9">
    <w:name w:val="heading 9"/>
    <w:link w:val="Nagwek9Znak"/>
    <w:uiPriority w:val="9"/>
    <w:semiHidden/>
    <w:unhideWhenUsed/>
    <w:qFormat/>
    <w:rsid w:val="007F2BA2"/>
    <w:pPr>
      <w:keepNext/>
      <w:keepLines/>
      <w:spacing w:line="360" w:lineRule="auto"/>
      <w:outlineLvl w:val="8"/>
    </w:pPr>
    <w:rPr>
      <w:rFonts w:asciiTheme="minorHAnsi" w:eastAsiaTheme="majorEastAsia" w:hAnsiTheme="minorHAnsi" w:cstheme="majorBidi"/>
      <w:color w:val="262626" w:themeColor="text1" w:themeTint="D9"/>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qFormat/>
    <w:rsid w:val="007F2BA2"/>
    <w:pPr>
      <w:spacing w:line="360" w:lineRule="auto"/>
    </w:pPr>
    <w:rPr>
      <w:sz w:val="24"/>
      <w:szCs w:val="24"/>
    </w:rPr>
  </w:style>
  <w:style w:type="paragraph" w:styleId="Tekstpodstawowy">
    <w:name w:val="Body Text"/>
    <w:link w:val="TekstpodstawowyZnak"/>
    <w:uiPriority w:val="99"/>
    <w:unhideWhenUsed/>
    <w:qFormat/>
    <w:rsid w:val="007F2BA2"/>
    <w:pPr>
      <w:spacing w:after="120" w:line="259" w:lineRule="auto"/>
    </w:pPr>
    <w:rPr>
      <w:rFonts w:asciiTheme="minorHAnsi" w:eastAsiaTheme="minorHAnsi" w:hAnsiTheme="minorHAnsi" w:cstheme="minorBidi"/>
      <w:sz w:val="22"/>
      <w:szCs w:val="24"/>
    </w:rPr>
  </w:style>
  <w:style w:type="character" w:styleId="Uwydatnienie">
    <w:name w:val="Emphasis"/>
    <w:basedOn w:val="Domylnaczcionkaakapitu"/>
    <w:uiPriority w:val="20"/>
    <w:qFormat/>
    <w:rsid w:val="007F2BA2"/>
    <w:rPr>
      <w:i/>
      <w:iCs/>
    </w:rPr>
  </w:style>
  <w:style w:type="paragraph" w:styleId="Stopka">
    <w:name w:val="footer"/>
    <w:link w:val="StopkaZnak"/>
    <w:uiPriority w:val="99"/>
    <w:unhideWhenUsed/>
    <w:qFormat/>
    <w:rsid w:val="007F2BA2"/>
    <w:pPr>
      <w:tabs>
        <w:tab w:val="center" w:pos="4513"/>
        <w:tab w:val="right" w:pos="9026"/>
      </w:tabs>
    </w:pPr>
    <w:rPr>
      <w:sz w:val="24"/>
      <w:szCs w:val="24"/>
    </w:rPr>
  </w:style>
  <w:style w:type="paragraph" w:styleId="Nagwek">
    <w:name w:val="header"/>
    <w:link w:val="NagwekZnak"/>
    <w:uiPriority w:val="99"/>
    <w:unhideWhenUsed/>
    <w:qFormat/>
    <w:rsid w:val="007F2BA2"/>
    <w:pPr>
      <w:tabs>
        <w:tab w:val="center" w:pos="4513"/>
        <w:tab w:val="right" w:pos="9026"/>
      </w:tabs>
    </w:pPr>
    <w:rPr>
      <w:sz w:val="24"/>
      <w:szCs w:val="24"/>
    </w:rPr>
  </w:style>
  <w:style w:type="character" w:styleId="Hipercze">
    <w:name w:val="Hyperlink"/>
    <w:basedOn w:val="Domylnaczcionkaakapitu"/>
    <w:uiPriority w:val="99"/>
    <w:semiHidden/>
    <w:unhideWhenUsed/>
    <w:qFormat/>
    <w:rsid w:val="007F2BA2"/>
    <w:rPr>
      <w:color w:val="0000FF"/>
      <w:u w:val="single"/>
    </w:rPr>
  </w:style>
  <w:style w:type="paragraph" w:styleId="NormalnyWeb">
    <w:name w:val="Normal (Web)"/>
    <w:uiPriority w:val="99"/>
    <w:unhideWhenUsed/>
    <w:qFormat/>
    <w:rsid w:val="007F2BA2"/>
    <w:pPr>
      <w:spacing w:before="100" w:beforeAutospacing="1" w:after="100" w:afterAutospacing="1"/>
    </w:pPr>
    <w:rPr>
      <w:sz w:val="24"/>
      <w:szCs w:val="24"/>
    </w:rPr>
  </w:style>
  <w:style w:type="character" w:styleId="Pogrubienie">
    <w:name w:val="Strong"/>
    <w:basedOn w:val="Domylnaczcionkaakapitu"/>
    <w:uiPriority w:val="22"/>
    <w:qFormat/>
    <w:rsid w:val="007F2BA2"/>
    <w:rPr>
      <w:b/>
      <w:bCs/>
    </w:rPr>
  </w:style>
  <w:style w:type="paragraph" w:styleId="Podtytu">
    <w:name w:val="Subtitle"/>
    <w:basedOn w:val="Normalny1"/>
    <w:next w:val="Normalny1"/>
    <w:qFormat/>
    <w:rsid w:val="007F2BA2"/>
    <w:pPr>
      <w:spacing w:after="160"/>
    </w:pPr>
    <w:rPr>
      <w:rFonts w:ascii="Calibri" w:eastAsia="Calibri" w:hAnsi="Calibri" w:cs="Calibri"/>
      <w:color w:val="595959"/>
      <w:sz w:val="28"/>
      <w:szCs w:val="28"/>
    </w:rPr>
  </w:style>
  <w:style w:type="paragraph" w:styleId="Tytu">
    <w:name w:val="Title"/>
    <w:basedOn w:val="Normalny1"/>
    <w:next w:val="Normalny1"/>
    <w:qFormat/>
    <w:rsid w:val="007F2BA2"/>
    <w:pPr>
      <w:spacing w:after="80" w:line="240" w:lineRule="auto"/>
    </w:pPr>
    <w:rPr>
      <w:rFonts w:ascii="Calibri" w:eastAsia="Calibri" w:hAnsi="Calibri" w:cs="Calibri"/>
      <w:sz w:val="56"/>
      <w:szCs w:val="56"/>
    </w:rPr>
  </w:style>
  <w:style w:type="table" w:customStyle="1" w:styleId="TableNormal">
    <w:name w:val="TableNormal"/>
    <w:qFormat/>
    <w:rsid w:val="007F2BA2"/>
    <w:tblPr>
      <w:tblCellMar>
        <w:top w:w="100" w:type="dxa"/>
        <w:left w:w="100" w:type="dxa"/>
        <w:bottom w:w="100" w:type="dxa"/>
        <w:right w:w="100" w:type="dxa"/>
      </w:tblCellMar>
    </w:tblPr>
  </w:style>
  <w:style w:type="character" w:customStyle="1" w:styleId="Nagwek1Znak">
    <w:name w:val="Nagłówek 1 Znak"/>
    <w:basedOn w:val="Domylnaczcionkaakapitu"/>
    <w:uiPriority w:val="9"/>
    <w:qFormat/>
    <w:rsid w:val="007F2BA2"/>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uiPriority w:val="9"/>
    <w:semiHidden/>
    <w:qFormat/>
    <w:rsid w:val="007F2BA2"/>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uiPriority w:val="9"/>
    <w:semiHidden/>
    <w:qFormat/>
    <w:rsid w:val="007F2BA2"/>
    <w:rPr>
      <w:rFonts w:asciiTheme="minorHAnsi" w:eastAsiaTheme="majorEastAsia" w:hAnsiTheme="minorHAnsi" w:cstheme="majorBidi"/>
      <w:color w:val="2F5496" w:themeColor="accent1" w:themeShade="BF"/>
      <w:sz w:val="28"/>
      <w:szCs w:val="28"/>
    </w:rPr>
  </w:style>
  <w:style w:type="character" w:customStyle="1" w:styleId="Nagwek4Znak">
    <w:name w:val="Nagłówek 4 Znak"/>
    <w:basedOn w:val="Domylnaczcionkaakapitu"/>
    <w:uiPriority w:val="9"/>
    <w:semiHidden/>
    <w:qFormat/>
    <w:rsid w:val="007F2BA2"/>
    <w:rPr>
      <w:rFonts w:asciiTheme="minorHAnsi" w:eastAsiaTheme="majorEastAsia" w:hAnsiTheme="minorHAnsi" w:cstheme="majorBidi"/>
      <w:i/>
      <w:iCs/>
      <w:color w:val="2F5496" w:themeColor="accent1" w:themeShade="BF"/>
    </w:rPr>
  </w:style>
  <w:style w:type="character" w:customStyle="1" w:styleId="Nagwek5Znak">
    <w:name w:val="Nagłówek 5 Znak"/>
    <w:basedOn w:val="Domylnaczcionkaakapitu"/>
    <w:uiPriority w:val="9"/>
    <w:semiHidden/>
    <w:qFormat/>
    <w:rsid w:val="007F2BA2"/>
    <w:rPr>
      <w:rFonts w:asciiTheme="minorHAnsi" w:eastAsiaTheme="majorEastAsia" w:hAnsiTheme="minorHAnsi" w:cstheme="majorBidi"/>
      <w:color w:val="2F5496" w:themeColor="accent1" w:themeShade="BF"/>
    </w:rPr>
  </w:style>
  <w:style w:type="character" w:customStyle="1" w:styleId="Nagwek6Znak">
    <w:name w:val="Nagłówek 6 Znak"/>
    <w:basedOn w:val="Domylnaczcionkaakapitu"/>
    <w:uiPriority w:val="9"/>
    <w:semiHidden/>
    <w:qFormat/>
    <w:rsid w:val="007F2BA2"/>
    <w:rPr>
      <w:rFonts w:asciiTheme="minorHAnsi" w:eastAsiaTheme="majorEastAsia" w:hAnsiTheme="minorHAnsi" w:cstheme="majorBidi"/>
      <w:i/>
      <w:iCs/>
      <w:color w:val="595959" w:themeColor="text1" w:themeTint="A6"/>
    </w:rPr>
  </w:style>
  <w:style w:type="character" w:customStyle="1" w:styleId="Nagwek7Znak">
    <w:name w:val="Nagłówek 7 Znak"/>
    <w:basedOn w:val="Domylnaczcionkaakapitu"/>
    <w:link w:val="Nagwek7"/>
    <w:uiPriority w:val="9"/>
    <w:semiHidden/>
    <w:qFormat/>
    <w:rsid w:val="007F2BA2"/>
    <w:rPr>
      <w:rFonts w:asciiTheme="minorHAnsi" w:eastAsiaTheme="majorEastAsia" w:hAnsiTheme="minorHAnsi" w:cstheme="majorBidi"/>
      <w:color w:val="595959" w:themeColor="text1" w:themeTint="A6"/>
    </w:rPr>
  </w:style>
  <w:style w:type="character" w:customStyle="1" w:styleId="Nagwek8Znak">
    <w:name w:val="Nagłówek 8 Znak"/>
    <w:basedOn w:val="Domylnaczcionkaakapitu"/>
    <w:link w:val="Nagwek8"/>
    <w:uiPriority w:val="9"/>
    <w:semiHidden/>
    <w:qFormat/>
    <w:rsid w:val="007F2BA2"/>
    <w:rPr>
      <w:rFonts w:asciiTheme="minorHAnsi" w:eastAsiaTheme="majorEastAsia" w:hAnsiTheme="minorHAnsi" w:cstheme="majorBidi"/>
      <w:i/>
      <w:iCs/>
      <w:color w:val="262626" w:themeColor="text1" w:themeTint="D9"/>
    </w:rPr>
  </w:style>
  <w:style w:type="character" w:customStyle="1" w:styleId="Nagwek9Znak">
    <w:name w:val="Nagłówek 9 Znak"/>
    <w:basedOn w:val="Domylnaczcionkaakapitu"/>
    <w:link w:val="Nagwek9"/>
    <w:uiPriority w:val="9"/>
    <w:semiHidden/>
    <w:qFormat/>
    <w:rsid w:val="007F2BA2"/>
    <w:rPr>
      <w:rFonts w:asciiTheme="minorHAnsi" w:eastAsiaTheme="majorEastAsia" w:hAnsiTheme="minorHAnsi" w:cstheme="majorBidi"/>
      <w:color w:val="262626" w:themeColor="text1" w:themeTint="D9"/>
    </w:rPr>
  </w:style>
  <w:style w:type="character" w:customStyle="1" w:styleId="TytuZnak">
    <w:name w:val="Tytuł Znak"/>
    <w:basedOn w:val="Domylnaczcionkaakapitu"/>
    <w:uiPriority w:val="10"/>
    <w:qFormat/>
    <w:rsid w:val="007F2BA2"/>
    <w:rPr>
      <w:rFonts w:asciiTheme="majorHAnsi" w:eastAsiaTheme="majorEastAsia" w:hAnsiTheme="majorHAnsi" w:cstheme="majorBidi"/>
      <w:spacing w:val="-10"/>
      <w:kern w:val="28"/>
      <w:sz w:val="56"/>
      <w:szCs w:val="56"/>
    </w:rPr>
  </w:style>
  <w:style w:type="character" w:customStyle="1" w:styleId="PodtytuZnak">
    <w:name w:val="Podtytuł Znak"/>
    <w:basedOn w:val="Domylnaczcionkaakapitu"/>
    <w:uiPriority w:val="11"/>
    <w:qFormat/>
    <w:rsid w:val="007F2BA2"/>
    <w:rPr>
      <w:rFonts w:asciiTheme="minorHAnsi" w:eastAsiaTheme="majorEastAsia" w:hAnsiTheme="minorHAnsi" w:cstheme="majorBidi"/>
      <w:color w:val="595959" w:themeColor="text1" w:themeTint="A6"/>
      <w:spacing w:val="15"/>
      <w:sz w:val="28"/>
      <w:szCs w:val="28"/>
    </w:rPr>
  </w:style>
  <w:style w:type="paragraph" w:styleId="Cytat">
    <w:name w:val="Quote"/>
    <w:link w:val="CytatZnak"/>
    <w:uiPriority w:val="29"/>
    <w:qFormat/>
    <w:rsid w:val="007F2BA2"/>
    <w:pPr>
      <w:spacing w:before="160" w:after="160" w:line="360" w:lineRule="auto"/>
      <w:jc w:val="center"/>
    </w:pPr>
    <w:rPr>
      <w:i/>
      <w:iCs/>
      <w:color w:val="404040" w:themeColor="text1" w:themeTint="BF"/>
      <w:sz w:val="24"/>
      <w:szCs w:val="24"/>
    </w:rPr>
  </w:style>
  <w:style w:type="character" w:customStyle="1" w:styleId="CytatZnak">
    <w:name w:val="Cytat Znak"/>
    <w:basedOn w:val="Domylnaczcionkaakapitu"/>
    <w:link w:val="Cytat"/>
    <w:uiPriority w:val="29"/>
    <w:qFormat/>
    <w:rsid w:val="007F2BA2"/>
    <w:rPr>
      <w:i/>
      <w:iCs/>
      <w:color w:val="404040" w:themeColor="text1" w:themeTint="BF"/>
    </w:rPr>
  </w:style>
  <w:style w:type="paragraph" w:styleId="Akapitzlist">
    <w:name w:val="List Paragraph"/>
    <w:uiPriority w:val="34"/>
    <w:qFormat/>
    <w:rsid w:val="007F2BA2"/>
    <w:pPr>
      <w:spacing w:line="360" w:lineRule="auto"/>
      <w:ind w:left="720"/>
      <w:contextualSpacing/>
    </w:pPr>
    <w:rPr>
      <w:sz w:val="24"/>
      <w:szCs w:val="24"/>
    </w:rPr>
  </w:style>
  <w:style w:type="character" w:customStyle="1" w:styleId="Wyrnienieintensywne1">
    <w:name w:val="Wyróżnienie intensywne1"/>
    <w:basedOn w:val="Domylnaczcionkaakapitu"/>
    <w:uiPriority w:val="21"/>
    <w:qFormat/>
    <w:rsid w:val="007F2BA2"/>
    <w:rPr>
      <w:i/>
      <w:iCs/>
      <w:color w:val="2F5496" w:themeColor="accent1" w:themeShade="BF"/>
    </w:rPr>
  </w:style>
  <w:style w:type="paragraph" w:styleId="Cytatintensywny">
    <w:name w:val="Intense Quote"/>
    <w:link w:val="CytatintensywnyZnak"/>
    <w:uiPriority w:val="30"/>
    <w:qFormat/>
    <w:rsid w:val="007F2BA2"/>
    <w:pPr>
      <w:pBdr>
        <w:top w:val="single" w:sz="4" w:space="10" w:color="2F5496" w:themeColor="accent1" w:themeShade="BF"/>
        <w:bottom w:val="single" w:sz="4" w:space="10" w:color="2F5496" w:themeColor="accent1" w:themeShade="BF"/>
      </w:pBdr>
      <w:spacing w:before="360" w:after="360" w:line="360" w:lineRule="auto"/>
      <w:ind w:left="864" w:right="864"/>
      <w:jc w:val="center"/>
    </w:pPr>
    <w:rPr>
      <w:i/>
      <w:iCs/>
      <w:color w:val="2F5496" w:themeColor="accent1" w:themeShade="BF"/>
      <w:sz w:val="24"/>
      <w:szCs w:val="24"/>
    </w:rPr>
  </w:style>
  <w:style w:type="character" w:customStyle="1" w:styleId="CytatintensywnyZnak">
    <w:name w:val="Cytat intensywny Znak"/>
    <w:basedOn w:val="Domylnaczcionkaakapitu"/>
    <w:link w:val="Cytatintensywny"/>
    <w:uiPriority w:val="30"/>
    <w:qFormat/>
    <w:rsid w:val="007F2BA2"/>
    <w:rPr>
      <w:i/>
      <w:iCs/>
      <w:color w:val="2F5496" w:themeColor="accent1" w:themeShade="BF"/>
    </w:rPr>
  </w:style>
  <w:style w:type="character" w:customStyle="1" w:styleId="Odwoanieintensywne1">
    <w:name w:val="Odwołanie intensywne1"/>
    <w:basedOn w:val="Domylnaczcionkaakapitu"/>
    <w:uiPriority w:val="32"/>
    <w:qFormat/>
    <w:rsid w:val="007F2BA2"/>
    <w:rPr>
      <w:b/>
      <w:bCs/>
      <w:smallCaps/>
      <w:color w:val="2F5496" w:themeColor="accent1" w:themeShade="BF"/>
      <w:spacing w:val="5"/>
    </w:rPr>
  </w:style>
  <w:style w:type="character" w:customStyle="1" w:styleId="NagwekZnak">
    <w:name w:val="Nagłówek Znak"/>
    <w:basedOn w:val="Domylnaczcionkaakapitu"/>
    <w:link w:val="Nagwek"/>
    <w:uiPriority w:val="99"/>
    <w:qFormat/>
    <w:rsid w:val="007F2BA2"/>
  </w:style>
  <w:style w:type="character" w:customStyle="1" w:styleId="StopkaZnak">
    <w:name w:val="Stopka Znak"/>
    <w:basedOn w:val="Domylnaczcionkaakapitu"/>
    <w:link w:val="Stopka"/>
    <w:uiPriority w:val="99"/>
    <w:qFormat/>
    <w:rsid w:val="007F2BA2"/>
  </w:style>
  <w:style w:type="character" w:customStyle="1" w:styleId="TekstpodstawowyZnak">
    <w:name w:val="Tekst podstawowy Znak"/>
    <w:basedOn w:val="Domylnaczcionkaakapitu"/>
    <w:link w:val="Tekstpodstawowy"/>
    <w:uiPriority w:val="99"/>
    <w:qFormat/>
    <w:rsid w:val="007F2BA2"/>
    <w:rPr>
      <w:rFonts w:asciiTheme="minorHAnsi" w:eastAsiaTheme="minorHAnsi" w:hAnsiTheme="minorHAnsi" w:cstheme="minorBidi"/>
      <w:sz w:val="22"/>
    </w:rPr>
  </w:style>
  <w:style w:type="table" w:customStyle="1" w:styleId="Style44">
    <w:name w:val="_Style 44"/>
    <w:basedOn w:val="TableNormal"/>
    <w:qFormat/>
    <w:rsid w:val="007F2BA2"/>
    <w:tblPr>
      <w:tblCellMar>
        <w:top w:w="0" w:type="dxa"/>
        <w:left w:w="115" w:type="dxa"/>
        <w:bottom w:w="0" w:type="dxa"/>
        <w:right w:w="115" w:type="dxa"/>
      </w:tblCellMar>
    </w:tblPr>
  </w:style>
  <w:style w:type="table" w:customStyle="1" w:styleId="Style45">
    <w:name w:val="_Style 45"/>
    <w:basedOn w:val="TableNormal"/>
    <w:qFormat/>
    <w:rsid w:val="007F2BA2"/>
    <w:tblPr>
      <w:tblCellMar>
        <w:top w:w="0" w:type="dxa"/>
        <w:left w:w="115" w:type="dxa"/>
        <w:bottom w:w="0" w:type="dxa"/>
        <w:right w:w="115" w:type="dxa"/>
      </w:tblCellMar>
    </w:tblPr>
  </w:style>
  <w:style w:type="paragraph" w:styleId="Poprawka">
    <w:name w:val="Revision"/>
    <w:hidden/>
    <w:uiPriority w:val="99"/>
    <w:unhideWhenUsed/>
    <w:rsid w:val="00D058CA"/>
    <w:rPr>
      <w:sz w:val="24"/>
      <w:szCs w:val="24"/>
    </w:rPr>
  </w:style>
  <w:style w:type="table" w:customStyle="1" w:styleId="GridTableLight">
    <w:name w:val="Grid Table Light"/>
    <w:basedOn w:val="Standardowy"/>
    <w:uiPriority w:val="40"/>
    <w:rsid w:val="00472B24"/>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ela-Siatka">
    <w:name w:val="Table Grid"/>
    <w:basedOn w:val="Standardowy"/>
    <w:uiPriority w:val="59"/>
    <w:rsid w:val="00472B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2D6941"/>
    <w:rPr>
      <w:sz w:val="16"/>
      <w:szCs w:val="16"/>
    </w:rPr>
  </w:style>
  <w:style w:type="paragraph" w:styleId="Tekstkomentarza">
    <w:name w:val="annotation text"/>
    <w:basedOn w:val="Normalny"/>
    <w:link w:val="TekstkomentarzaZnak"/>
    <w:uiPriority w:val="99"/>
    <w:unhideWhenUsed/>
    <w:rsid w:val="002D6941"/>
    <w:pPr>
      <w:spacing w:line="240" w:lineRule="auto"/>
    </w:pPr>
    <w:rPr>
      <w:sz w:val="20"/>
      <w:szCs w:val="20"/>
    </w:rPr>
  </w:style>
  <w:style w:type="character" w:customStyle="1" w:styleId="TekstkomentarzaZnak">
    <w:name w:val="Tekst komentarza Znak"/>
    <w:basedOn w:val="Domylnaczcionkaakapitu"/>
    <w:link w:val="Tekstkomentarza"/>
    <w:uiPriority w:val="99"/>
    <w:rsid w:val="002D6941"/>
  </w:style>
  <w:style w:type="paragraph" w:styleId="Tematkomentarza">
    <w:name w:val="annotation subject"/>
    <w:basedOn w:val="Tekstkomentarza"/>
    <w:next w:val="Tekstkomentarza"/>
    <w:link w:val="TematkomentarzaZnak"/>
    <w:uiPriority w:val="99"/>
    <w:semiHidden/>
    <w:unhideWhenUsed/>
    <w:rsid w:val="002D6941"/>
    <w:rPr>
      <w:b/>
      <w:bCs/>
    </w:rPr>
  </w:style>
  <w:style w:type="character" w:customStyle="1" w:styleId="TematkomentarzaZnak">
    <w:name w:val="Temat komentarza Znak"/>
    <w:basedOn w:val="TekstkomentarzaZnak"/>
    <w:link w:val="Tematkomentarza"/>
    <w:uiPriority w:val="99"/>
    <w:semiHidden/>
    <w:rsid w:val="002D6941"/>
    <w:rPr>
      <w:b/>
      <w:bCs/>
    </w:rPr>
  </w:style>
  <w:style w:type="paragraph" w:styleId="Tekstdymka">
    <w:name w:val="Balloon Text"/>
    <w:basedOn w:val="Normalny"/>
    <w:link w:val="TekstdymkaZnak"/>
    <w:uiPriority w:val="99"/>
    <w:semiHidden/>
    <w:unhideWhenUsed/>
    <w:rsid w:val="00DB022F"/>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B022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szatkowska_karolina@wp.pl" TargetMode="Externa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1/relationships/commentsExtended" Target="commentsExtended.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L/Vo2VEB98/5dhkExtZ2rdALg==">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</go:docsCustomData>
</go:gDocsCustomXmlDataStorage>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7641</Words>
  <Characters>45850</Characters>
  <Application>Microsoft Office Word</Application>
  <DocSecurity>0</DocSecurity>
  <Lines>382</Lines>
  <Paragraphs>106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Mariya Kuzyan</dc:creator>
  <cp:lastModifiedBy>Karolina</cp:lastModifiedBy>
  <cp:revision>2</cp:revision>
  <dcterms:created xsi:type="dcterms:W3CDTF">2026-08-29T18:57:00Z</dcterms:created>
  <dcterms:modified xsi:type="dcterms:W3CDTF">2026-08-29T18:57:00Z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0x010100F1D5DA14C40FA845AAE167666D5B8747</vt:lpwstr>
  </property>
  <property fmtid="{D5CDD505-2E9C-101B-9397-08002B2CF9AE}" pid="3" name="KSOTemplateDocerSaveRecord">
    <vt:lpwstr>eyJoZGlkIjoiMGI1YzFiZmIyNDljMGFlMjc5ODVjYjAzOTNlMDI4YmUiLCJ1c2VySWQiOiIzMDIzNjU4OTE2ODYxIn0=</vt:lpwstr>
  </property>
  <property fmtid="{D5CDD505-2E9C-101B-9397-08002B2CF9AE}" pid="4" name="KSOProductBuildVer">
    <vt:lpwstr>1045-12.1.0.28032</vt:lpwstr>
  </property>
  <property fmtid="{D5CDD505-2E9C-101B-9397-08002B2CF9AE}" pid="5" name="ICV">
    <vt:lpwstr>83CB845629084776AA47FAF98882A0A7_13</vt:lpwstr>
  </property>
</Properties>
</file>